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80E7D6A" w:rsidR="00E66558" w:rsidRDefault="00400CE9">
      <w:pPr>
        <w:pStyle w:val="Heading1"/>
      </w:pPr>
      <w:bookmarkStart w:id="0" w:name="_Toc400361362"/>
      <w:bookmarkStart w:id="1" w:name="_Toc443397153"/>
      <w:bookmarkStart w:id="2" w:name="_Toc357771638"/>
      <w:bookmarkStart w:id="3" w:name="_Toc346793416"/>
      <w:bookmarkStart w:id="4" w:name="_Toc328122777"/>
      <w:r>
        <w:t xml:space="preserve">Barley Mow Primary School- </w:t>
      </w:r>
      <w:r w:rsidR="009D71E8">
        <w:t xml:space="preserve">Pupil </w:t>
      </w:r>
      <w:r w:rsidR="00153065">
        <w:t>P</w:t>
      </w:r>
      <w:r w:rsidR="009D71E8">
        <w:t xml:space="preserve">remium </w:t>
      </w:r>
      <w:r w:rsidR="00153065">
        <w:t>S</w:t>
      </w:r>
      <w:r w:rsidR="009D71E8">
        <w:t xml:space="preserve">trategy </w:t>
      </w:r>
      <w:r w:rsidR="00153065">
        <w:t>S</w:t>
      </w:r>
      <w:r w:rsidR="009D71E8">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53065">
        <w:t xml:space="preserve"> </w:t>
      </w:r>
      <w:r w:rsidR="00153065">
        <w:rPr>
          <w:noProof/>
        </w:rPr>
        <w:drawing>
          <wp:inline distT="0" distB="0" distL="0" distR="0" wp14:anchorId="6617C404" wp14:editId="54D60917">
            <wp:extent cx="413039" cy="51928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8087" cy="525636"/>
                    </a:xfrm>
                    <a:prstGeom prst="rect">
                      <a:avLst/>
                    </a:prstGeom>
                    <a:noFill/>
                    <a:ln>
                      <a:noFill/>
                    </a:ln>
                  </pic:spPr>
                </pic:pic>
              </a:graphicData>
            </a:graphic>
          </wp:inline>
        </w:drawing>
      </w:r>
    </w:p>
    <w:p w14:paraId="2A7D54B2" w14:textId="74C93CBC"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D93338">
        <w:rPr>
          <w:b w:val="0"/>
          <w:bCs/>
          <w:color w:val="auto"/>
          <w:sz w:val="24"/>
          <w:szCs w:val="24"/>
        </w:rPr>
        <w:t>3-2024</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EE6D708" w:rsidR="00E66558" w:rsidRDefault="00400CE9">
            <w:pPr>
              <w:pStyle w:val="TableRow"/>
            </w:pPr>
            <w:r>
              <w:t>Barley Mow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74BE9EE" w:rsidR="00E66558" w:rsidRDefault="006F429B">
            <w:pPr>
              <w:pStyle w:val="TableRow"/>
            </w:pPr>
            <w:r>
              <w:t>16</w:t>
            </w:r>
            <w:r w:rsidR="004A1E75">
              <w:t>2</w:t>
            </w:r>
            <w:r w:rsidR="00617F86">
              <w:t xml:space="preserve"> (including nursery)</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42A073A4" w:rsidR="00E66558" w:rsidRDefault="00400CE9">
            <w:pPr>
              <w:pStyle w:val="TableRow"/>
            </w:pPr>
            <w:r>
              <w:t>3</w:t>
            </w:r>
            <w:r w:rsidR="004A1E75">
              <w:t>7</w:t>
            </w:r>
            <w:r>
              <w:t>% (</w:t>
            </w:r>
            <w:r w:rsidR="006F429B">
              <w:t>60</w:t>
            </w:r>
            <w:r>
              <w:t xml:space="preserve"> children)</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5906FDF" w:rsidR="00E66558" w:rsidRDefault="009D71E8">
            <w:pPr>
              <w:pStyle w:val="TableRow"/>
            </w:pPr>
            <w:r>
              <w:rPr>
                <w:szCs w:val="22"/>
              </w:rPr>
              <w:t xml:space="preserve">Academic year/years that our current pupil premium strategy plan covers </w:t>
            </w:r>
            <w:r>
              <w:rPr>
                <w:b/>
                <w:bCs/>
                <w:szCs w:val="22"/>
              </w:rPr>
              <w:t>(</w:t>
            </w:r>
            <w:r w:rsidR="006B257B">
              <w:rPr>
                <w:b/>
                <w:bCs/>
                <w:szCs w:val="22"/>
              </w:rPr>
              <w:t>3-year</w:t>
            </w:r>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1326A1C" w:rsidR="00E66558" w:rsidRDefault="00400CE9">
            <w:pPr>
              <w:pStyle w:val="TableRow"/>
            </w:pPr>
            <w:r>
              <w:t>202</w:t>
            </w:r>
            <w:r w:rsidR="00D93338">
              <w:t>3-2024</w:t>
            </w:r>
            <w:r>
              <w:t xml:space="preserve"> (due to only one year of funding allocation being available)</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31EC7BE" w:rsidR="00E66558" w:rsidRDefault="00C249AC">
            <w:pPr>
              <w:pStyle w:val="TableRow"/>
            </w:pPr>
            <w:r>
              <w:t>December</w:t>
            </w:r>
            <w:r w:rsidR="00400CE9">
              <w:t xml:space="preserve"> 202</w:t>
            </w:r>
            <w:r w:rsidR="00D93338">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0FD4042" w:rsidR="00E66558" w:rsidRDefault="00C249AC">
            <w:pPr>
              <w:pStyle w:val="TableRow"/>
            </w:pPr>
            <w:r>
              <w:t>September</w:t>
            </w:r>
            <w:r w:rsidR="00400CE9">
              <w:t xml:space="preserve"> 202</w:t>
            </w:r>
            <w:r w:rsidR="00D93338">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213F4C2" w:rsidR="00E66558" w:rsidRDefault="00400CE9">
            <w:pPr>
              <w:pStyle w:val="TableRow"/>
            </w:pPr>
            <w:r>
              <w:t>Nicola Watson, Head 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C8A5104" w:rsidR="00E66558" w:rsidRDefault="00400CE9">
            <w:pPr>
              <w:pStyle w:val="TableRow"/>
            </w:pPr>
            <w:r>
              <w:t>Nicola Watson, Head Teacher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015595D" w:rsidR="00E66558" w:rsidRDefault="00400CE9">
            <w:pPr>
              <w:pStyle w:val="TableRow"/>
            </w:pPr>
            <w:r>
              <w:t>Michael Martin, Link Governor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8BAE2D4" w:rsidR="00E66558" w:rsidRDefault="009D71E8">
            <w:pPr>
              <w:pStyle w:val="TableRow"/>
            </w:pPr>
            <w:r>
              <w:t>£</w:t>
            </w:r>
            <w:r w:rsidR="006F429B">
              <w:t>84,390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C239158" w:rsidR="00E66558" w:rsidRDefault="009D71E8">
            <w:pPr>
              <w:pStyle w:val="TableRow"/>
            </w:pPr>
            <w:r>
              <w:t>£</w:t>
            </w:r>
            <w:r w:rsidR="006F429B">
              <w:t>8,700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E11F723" w:rsidR="00E66558" w:rsidRDefault="009D71E8">
            <w:pPr>
              <w:pStyle w:val="TableRow"/>
            </w:pPr>
            <w:r>
              <w:t>£</w:t>
            </w:r>
            <w:r w:rsidR="00400CE9">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lastRenderedPageBreak/>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8B5495E" w:rsidR="00E66558" w:rsidRDefault="009D71E8">
            <w:pPr>
              <w:pStyle w:val="TableRow"/>
            </w:pPr>
            <w:r>
              <w:lastRenderedPageBreak/>
              <w:t>£</w:t>
            </w:r>
            <w:r w:rsidR="006F429B">
              <w:t>93,090</w:t>
            </w:r>
          </w:p>
        </w:tc>
      </w:tr>
    </w:tbl>
    <w:p w14:paraId="2A7D54E4" w14:textId="77777777" w:rsidR="00E66558" w:rsidRDefault="009D71E8">
      <w:pPr>
        <w:pStyle w:val="Heading1"/>
      </w:pPr>
      <w:r>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1B1B6" w14:textId="1413A12A" w:rsidR="009D2052" w:rsidRDefault="00617F86" w:rsidP="00C249AC">
            <w:r>
              <w:t>At Barley Mow Primary School, it is our intention that children from all backgrounds are</w:t>
            </w:r>
            <w:r w:rsidR="00C249AC">
              <w:t xml:space="preserve"> able to achieve well in many ways, including academically, socially and emotionally. We want disadvantage</w:t>
            </w:r>
            <w:r w:rsidR="006B257B">
              <w:t>d</w:t>
            </w:r>
            <w:r w:rsidR="00C249AC">
              <w:t xml:space="preserve"> pupils, irrespective of the challenges they face, to</w:t>
            </w:r>
            <w:r>
              <w:t xml:space="preserve"> grow as individuals and become healthy, positive members of their community</w:t>
            </w:r>
            <w:r w:rsidR="00C249AC">
              <w:t>. We want all children to thrive and achieve the best of their ability, including those who are already high attainers.</w:t>
            </w:r>
          </w:p>
          <w:p w14:paraId="2A7D54E9" w14:textId="1636BFB6" w:rsidR="00C249AC" w:rsidRPr="00400CE9" w:rsidRDefault="00C249AC" w:rsidP="00C249AC">
            <w:r>
              <w:t>Our Pupil Premium Plan outlines how we will support children to make progress in their learning and to have a positive mind-set towards learning. Much of our focus will be on high quality teaching with additional intervention on a more individual basis. Our approach will be responsive to common challenges as well as individual needs and will be based on robust assessment.</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9B1899D" w:rsidR="00E66558" w:rsidRDefault="00AB5FD3" w:rsidP="00AB5FD3">
            <w:pPr>
              <w:pStyle w:val="TableRowCentered"/>
              <w:ind w:left="0"/>
              <w:jc w:val="left"/>
            </w:pPr>
            <w:r>
              <w:t>Some children have gaps in skills, knowledge and understanding. The reasons for this are varied and include poor working memory, issues with retention, absence in addition to the disruption to learning</w:t>
            </w:r>
            <w:r w:rsidR="00D93338">
              <w:t>.</w:t>
            </w:r>
            <w:r w:rsidR="008D59AF">
              <w:t xml:space="preserve"> These findings are supported by national studies.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7251C44" w:rsidR="00E66558" w:rsidRPr="005632A6" w:rsidRDefault="008D59AF">
            <w:pPr>
              <w:pStyle w:val="TableRowCentered"/>
              <w:jc w:val="left"/>
              <w:rPr>
                <w:szCs w:val="24"/>
              </w:rPr>
            </w:pPr>
            <w:r w:rsidRPr="005632A6">
              <w:rPr>
                <w:szCs w:val="24"/>
              </w:rPr>
              <w:t>Attendance rates for some children are low. Absenteeism can negatively impact disadvantaged pupil’s progress.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6994134" w:rsidR="00E66558" w:rsidRPr="005632A6" w:rsidRDefault="009D2052">
            <w:pPr>
              <w:pStyle w:val="TableRowCentered"/>
              <w:jc w:val="left"/>
              <w:rPr>
                <w:szCs w:val="24"/>
              </w:rPr>
            </w:pPr>
            <w:r>
              <w:rPr>
                <w:szCs w:val="24"/>
              </w:rPr>
              <w:t>A significant number of pupils’ basic language skills/habits can be low on-</w:t>
            </w:r>
            <w:r w:rsidR="006B257B">
              <w:rPr>
                <w:szCs w:val="24"/>
              </w:rPr>
              <w:t>entry,</w:t>
            </w:r>
            <w:r>
              <w:rPr>
                <w:szCs w:val="24"/>
              </w:rPr>
              <w:t xml:space="preserve"> and this has an impact on a wide range of aspects such as attitude to reading, vocabulary acquisition, spelling, writing and general comprehension.</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1109B4A" w:rsidR="00E66558" w:rsidRPr="005632A6" w:rsidRDefault="008D59AF">
            <w:pPr>
              <w:pStyle w:val="TableRowCentered"/>
              <w:jc w:val="left"/>
              <w:rPr>
                <w:iCs/>
                <w:szCs w:val="24"/>
              </w:rPr>
            </w:pPr>
            <w:r w:rsidRPr="005632A6">
              <w:rPr>
                <w:iCs/>
                <w:szCs w:val="24"/>
              </w:rPr>
              <w:t>For some children, parents/ carers do not read with, or to them. There is little value placed on the skill of reading or enjoyment of reading outside of school.</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89876AA" w:rsidR="00E66558" w:rsidRPr="005632A6" w:rsidRDefault="005632A6">
            <w:pPr>
              <w:pStyle w:val="TableRowCentered"/>
              <w:jc w:val="left"/>
              <w:rPr>
                <w:iCs/>
                <w:szCs w:val="24"/>
              </w:rPr>
            </w:pPr>
            <w:r w:rsidRPr="005632A6">
              <w:rPr>
                <w:iCs/>
                <w:szCs w:val="24"/>
              </w:rPr>
              <w:t xml:space="preserve">Some children find it difficult to master and retain mental fluency for maths which means they find it harder to tackle problems involving deeper understanding. </w:t>
            </w:r>
          </w:p>
        </w:tc>
      </w:tr>
      <w:tr w:rsidR="005632A6" w14:paraId="62C76E8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F48AC" w14:textId="77AFB621" w:rsidR="005632A6" w:rsidRDefault="005632A6">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D822" w14:textId="3C977F09" w:rsidR="005632A6" w:rsidRPr="005632A6" w:rsidRDefault="005632A6">
            <w:pPr>
              <w:pStyle w:val="TableRowCentered"/>
              <w:jc w:val="left"/>
              <w:rPr>
                <w:iCs/>
                <w:szCs w:val="24"/>
              </w:rPr>
            </w:pPr>
            <w:r>
              <w:rPr>
                <w:iCs/>
                <w:szCs w:val="24"/>
              </w:rPr>
              <w:t>Complex issues at home or children’s own mental health issues/ SEND needs can mean that some children are not emotionally ready to learn when they are at school.</w:t>
            </w:r>
          </w:p>
        </w:tc>
      </w:tr>
      <w:tr w:rsidR="005632A6" w14:paraId="15B4B8B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03AA0" w14:textId="19949B77" w:rsidR="005632A6" w:rsidRDefault="005632A6">
            <w:pPr>
              <w:pStyle w:val="TableRow"/>
              <w:rPr>
                <w:sz w:val="22"/>
                <w:szCs w:val="22"/>
              </w:rPr>
            </w:pPr>
            <w:r>
              <w:rPr>
                <w:sz w:val="22"/>
                <w:szCs w:val="22"/>
              </w:rPr>
              <w:t xml:space="preserve">7.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5EDE9" w14:textId="62278ADC" w:rsidR="005632A6" w:rsidRDefault="005632A6">
            <w:pPr>
              <w:pStyle w:val="TableRowCentered"/>
              <w:jc w:val="left"/>
              <w:rPr>
                <w:iCs/>
                <w:szCs w:val="24"/>
              </w:rPr>
            </w:pPr>
            <w:r>
              <w:rPr>
                <w:iCs/>
                <w:szCs w:val="24"/>
              </w:rPr>
              <w:t>The ever</w:t>
            </w:r>
            <w:r w:rsidR="009D2052">
              <w:rPr>
                <w:iCs/>
                <w:szCs w:val="24"/>
              </w:rPr>
              <w:t>-</w:t>
            </w:r>
            <w:r>
              <w:rPr>
                <w:iCs/>
                <w:szCs w:val="24"/>
              </w:rPr>
              <w:t xml:space="preserve"> increasing cost of living impacts on the experiences and opportunities families can afford to give the children.</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8E049EB" w:rsidR="00E66558" w:rsidRPr="001605E4" w:rsidRDefault="00F734FD" w:rsidP="005632A6">
            <w:pPr>
              <w:pStyle w:val="TableRow"/>
              <w:ind w:left="0"/>
              <w:rPr>
                <w:sz w:val="22"/>
                <w:szCs w:val="22"/>
              </w:rPr>
            </w:pPr>
            <w:r>
              <w:rPr>
                <w:sz w:val="22"/>
                <w:szCs w:val="22"/>
              </w:rPr>
              <w:t>Children who are identified as having gaps in their learning or are falling behind will be supported through effective adult supported intervention to enhance quality first-teaching and to ensure swift progress.</w:t>
            </w:r>
            <w:r w:rsidR="0018244B">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B29A6" w14:textId="77777777" w:rsidR="00E66558" w:rsidRDefault="005632A6" w:rsidP="005632A6">
            <w:pPr>
              <w:pStyle w:val="TableRowCentered"/>
              <w:numPr>
                <w:ilvl w:val="0"/>
                <w:numId w:val="14"/>
              </w:numPr>
              <w:jc w:val="left"/>
              <w:rPr>
                <w:sz w:val="22"/>
                <w:szCs w:val="22"/>
              </w:rPr>
            </w:pPr>
            <w:r>
              <w:rPr>
                <w:sz w:val="22"/>
                <w:szCs w:val="22"/>
              </w:rPr>
              <w:t>High quality 1:1 or small group interventions will address gaps in learning.</w:t>
            </w:r>
          </w:p>
          <w:p w14:paraId="32AA032D" w14:textId="514450DF" w:rsidR="005632A6" w:rsidRDefault="00BF5BDD" w:rsidP="005632A6">
            <w:pPr>
              <w:pStyle w:val="TableRowCentered"/>
              <w:numPr>
                <w:ilvl w:val="0"/>
                <w:numId w:val="14"/>
              </w:numPr>
              <w:jc w:val="left"/>
              <w:rPr>
                <w:sz w:val="22"/>
                <w:szCs w:val="22"/>
              </w:rPr>
            </w:pPr>
            <w:r>
              <w:rPr>
                <w:sz w:val="22"/>
                <w:szCs w:val="22"/>
              </w:rPr>
              <w:t>Staff delivering interventions will be skilled and have a high degree of effectiveness.</w:t>
            </w:r>
          </w:p>
          <w:p w14:paraId="44DF6616" w14:textId="5B12DB58" w:rsidR="00EA27A5" w:rsidRDefault="00EA27A5" w:rsidP="005632A6">
            <w:pPr>
              <w:pStyle w:val="TableRowCentered"/>
              <w:numPr>
                <w:ilvl w:val="0"/>
                <w:numId w:val="14"/>
              </w:numPr>
              <w:jc w:val="left"/>
              <w:rPr>
                <w:sz w:val="22"/>
                <w:szCs w:val="22"/>
              </w:rPr>
            </w:pPr>
            <w:r>
              <w:rPr>
                <w:sz w:val="22"/>
                <w:szCs w:val="22"/>
              </w:rPr>
              <w:t>Coaching opportunities provide time for staff to review their teaching and reflect upon it.</w:t>
            </w:r>
          </w:p>
          <w:p w14:paraId="1B369C01" w14:textId="00A4580D" w:rsidR="00BF5BDD" w:rsidRDefault="00BF5BDD" w:rsidP="005632A6">
            <w:pPr>
              <w:pStyle w:val="TableRowCentered"/>
              <w:numPr>
                <w:ilvl w:val="0"/>
                <w:numId w:val="14"/>
              </w:numPr>
              <w:jc w:val="left"/>
              <w:rPr>
                <w:sz w:val="22"/>
                <w:szCs w:val="22"/>
              </w:rPr>
            </w:pPr>
            <w:r>
              <w:rPr>
                <w:sz w:val="22"/>
                <w:szCs w:val="22"/>
              </w:rPr>
              <w:t xml:space="preserve">Pupils </w:t>
            </w:r>
            <w:r w:rsidR="00220C10">
              <w:rPr>
                <w:sz w:val="22"/>
                <w:szCs w:val="22"/>
              </w:rPr>
              <w:t>learn new material and retain this over the long- term.</w:t>
            </w:r>
          </w:p>
          <w:p w14:paraId="3BD2983E" w14:textId="13F061A7" w:rsidR="00220C10" w:rsidRDefault="00220C10" w:rsidP="005632A6">
            <w:pPr>
              <w:pStyle w:val="TableRowCentered"/>
              <w:numPr>
                <w:ilvl w:val="0"/>
                <w:numId w:val="14"/>
              </w:numPr>
              <w:jc w:val="left"/>
              <w:rPr>
                <w:sz w:val="22"/>
                <w:szCs w:val="22"/>
              </w:rPr>
            </w:pPr>
            <w:r>
              <w:rPr>
                <w:sz w:val="22"/>
                <w:szCs w:val="22"/>
              </w:rPr>
              <w:t>Lessons engage children and support their confidence through a high success rate and clear steps which builds their understanding systematically.</w:t>
            </w:r>
          </w:p>
          <w:p w14:paraId="2A7D5505" w14:textId="3AD31FF9" w:rsidR="00BF5BDD" w:rsidRDefault="00BF5BDD" w:rsidP="005632A6">
            <w:pPr>
              <w:pStyle w:val="TableRowCentered"/>
              <w:numPr>
                <w:ilvl w:val="0"/>
                <w:numId w:val="14"/>
              </w:numPr>
              <w:jc w:val="left"/>
              <w:rPr>
                <w:sz w:val="22"/>
                <w:szCs w:val="22"/>
              </w:rPr>
            </w:pPr>
            <w:r>
              <w:rPr>
                <w:sz w:val="22"/>
                <w:szCs w:val="22"/>
              </w:rPr>
              <w:t xml:space="preserve">Attainment in </w:t>
            </w:r>
            <w:r w:rsidR="0018244B">
              <w:rPr>
                <w:sz w:val="22"/>
                <w:szCs w:val="22"/>
              </w:rPr>
              <w:t xml:space="preserve">EYFS, </w:t>
            </w:r>
            <w:r>
              <w:rPr>
                <w:sz w:val="22"/>
                <w:szCs w:val="22"/>
              </w:rPr>
              <w:t xml:space="preserve">KS1 and KS2 for PP children will </w:t>
            </w:r>
            <w:r w:rsidR="004E3071">
              <w:rPr>
                <w:sz w:val="22"/>
                <w:szCs w:val="22"/>
              </w:rPr>
              <w:t>show that the gap is closing.</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0154726" w:rsidR="00E66558" w:rsidRDefault="00BF5BDD">
            <w:pPr>
              <w:pStyle w:val="TableRow"/>
              <w:rPr>
                <w:sz w:val="22"/>
                <w:szCs w:val="22"/>
              </w:rPr>
            </w:pPr>
            <w:r>
              <w:rPr>
                <w:sz w:val="22"/>
                <w:szCs w:val="22"/>
              </w:rPr>
              <w:t xml:space="preserve">The attendance of Pupil Premium children will be </w:t>
            </w:r>
            <w:r w:rsidR="00220C10">
              <w:rPr>
                <w:sz w:val="22"/>
                <w:szCs w:val="22"/>
              </w:rPr>
              <w:t>i</w:t>
            </w:r>
            <w:r w:rsidR="0018244B">
              <w:rPr>
                <w:sz w:val="22"/>
                <w:szCs w:val="22"/>
              </w:rPr>
              <w:t>mproved and sustained.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FE322" w14:textId="7AA9A237" w:rsidR="00E66558" w:rsidRDefault="004E3071" w:rsidP="00BF5BDD">
            <w:pPr>
              <w:pStyle w:val="TableRowCentered"/>
              <w:numPr>
                <w:ilvl w:val="0"/>
                <w:numId w:val="15"/>
              </w:numPr>
              <w:jc w:val="left"/>
              <w:rPr>
                <w:sz w:val="22"/>
                <w:szCs w:val="22"/>
              </w:rPr>
            </w:pPr>
            <w:r>
              <w:rPr>
                <w:sz w:val="22"/>
                <w:szCs w:val="22"/>
              </w:rPr>
              <w:t>Attendance patterns or concerns are quickly identified by monitoring.</w:t>
            </w:r>
          </w:p>
          <w:p w14:paraId="2FEFF7B9" w14:textId="58C11842" w:rsidR="00220C10" w:rsidRDefault="0018244B" w:rsidP="004E3071">
            <w:pPr>
              <w:pStyle w:val="TableRowCentered"/>
              <w:numPr>
                <w:ilvl w:val="0"/>
                <w:numId w:val="15"/>
              </w:numPr>
              <w:jc w:val="left"/>
              <w:rPr>
                <w:sz w:val="22"/>
                <w:szCs w:val="22"/>
              </w:rPr>
            </w:pPr>
            <w:r>
              <w:rPr>
                <w:sz w:val="22"/>
                <w:szCs w:val="22"/>
              </w:rPr>
              <w:t>Head Teacher communicates clear expectations with parents and speaks directly to parents where there are issues.</w:t>
            </w:r>
          </w:p>
          <w:p w14:paraId="02CC749F" w14:textId="427621EE" w:rsidR="004E3071" w:rsidRPr="004E3071" w:rsidRDefault="004E3071" w:rsidP="004E3071">
            <w:pPr>
              <w:pStyle w:val="TableRowCentered"/>
              <w:numPr>
                <w:ilvl w:val="0"/>
                <w:numId w:val="15"/>
              </w:numPr>
              <w:jc w:val="left"/>
              <w:rPr>
                <w:sz w:val="22"/>
                <w:szCs w:val="22"/>
              </w:rPr>
            </w:pPr>
            <w:r>
              <w:rPr>
                <w:sz w:val="22"/>
                <w:szCs w:val="22"/>
              </w:rPr>
              <w:t>There will be a reduction in the number of Pupil Premium children who are persistent absentees.</w:t>
            </w:r>
          </w:p>
          <w:p w14:paraId="7B54EBDC" w14:textId="77777777" w:rsidR="00BF5BDD" w:rsidRDefault="00BF5BDD" w:rsidP="00BF5BDD">
            <w:pPr>
              <w:pStyle w:val="TableRowCentered"/>
              <w:numPr>
                <w:ilvl w:val="0"/>
                <w:numId w:val="15"/>
              </w:numPr>
              <w:jc w:val="left"/>
              <w:rPr>
                <w:sz w:val="22"/>
                <w:szCs w:val="22"/>
              </w:rPr>
            </w:pPr>
            <w:r>
              <w:rPr>
                <w:sz w:val="22"/>
                <w:szCs w:val="22"/>
              </w:rPr>
              <w:t xml:space="preserve">The attendance gap between disadvantaged pupils and their non- disadvantaged </w:t>
            </w:r>
            <w:r w:rsidR="009513F3">
              <w:rPr>
                <w:sz w:val="22"/>
                <w:szCs w:val="22"/>
              </w:rPr>
              <w:t>peers will be reduced.</w:t>
            </w:r>
          </w:p>
          <w:p w14:paraId="1DE9E19F" w14:textId="77777777" w:rsidR="009513F3" w:rsidRDefault="009513F3" w:rsidP="00BF5BDD">
            <w:pPr>
              <w:pStyle w:val="TableRowCentered"/>
              <w:numPr>
                <w:ilvl w:val="0"/>
                <w:numId w:val="15"/>
              </w:numPr>
              <w:jc w:val="left"/>
              <w:rPr>
                <w:sz w:val="22"/>
                <w:szCs w:val="22"/>
              </w:rPr>
            </w:pPr>
            <w:r>
              <w:rPr>
                <w:sz w:val="22"/>
                <w:szCs w:val="22"/>
              </w:rPr>
              <w:t>Support is offered where there are reasons for low attendance.</w:t>
            </w:r>
          </w:p>
          <w:p w14:paraId="2A7D5508" w14:textId="7F8926B8" w:rsidR="009513F3" w:rsidRDefault="009513F3" w:rsidP="00BF5BDD">
            <w:pPr>
              <w:pStyle w:val="TableRowCentered"/>
              <w:numPr>
                <w:ilvl w:val="0"/>
                <w:numId w:val="15"/>
              </w:numPr>
              <w:jc w:val="left"/>
              <w:rPr>
                <w:sz w:val="22"/>
                <w:szCs w:val="22"/>
              </w:rPr>
            </w:pPr>
            <w:r>
              <w:rPr>
                <w:sz w:val="22"/>
                <w:szCs w:val="22"/>
              </w:rPr>
              <w:t>Where issues are not addressed or attendance not improving, referrals to legal Intervention Team are made.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D60881D" w:rsidR="00E66558" w:rsidRDefault="00F67B0D">
            <w:pPr>
              <w:pStyle w:val="TableRow"/>
              <w:rPr>
                <w:sz w:val="22"/>
                <w:szCs w:val="22"/>
              </w:rPr>
            </w:pPr>
            <w:r>
              <w:rPr>
                <w:sz w:val="22"/>
                <w:szCs w:val="22"/>
              </w:rPr>
              <w:t>Children’s skills in communication and understanding of vocabulary will improve.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0DE2" w14:textId="7CC231E9" w:rsidR="00E66558" w:rsidRDefault="00F67B0D" w:rsidP="00C471B7">
            <w:pPr>
              <w:pStyle w:val="TableRowCentered"/>
              <w:numPr>
                <w:ilvl w:val="0"/>
                <w:numId w:val="16"/>
              </w:numPr>
              <w:jc w:val="left"/>
              <w:rPr>
                <w:sz w:val="22"/>
                <w:szCs w:val="22"/>
              </w:rPr>
            </w:pPr>
            <w:r>
              <w:rPr>
                <w:sz w:val="22"/>
                <w:szCs w:val="22"/>
              </w:rPr>
              <w:t xml:space="preserve">Staff model effective communication and explain new vocabulary as part of their </w:t>
            </w:r>
            <w:r w:rsidR="00C471B7">
              <w:rPr>
                <w:sz w:val="22"/>
                <w:szCs w:val="22"/>
              </w:rPr>
              <w:t>t</w:t>
            </w:r>
            <w:r w:rsidRPr="00C471B7">
              <w:rPr>
                <w:sz w:val="22"/>
                <w:szCs w:val="22"/>
              </w:rPr>
              <w:t>eaching.</w:t>
            </w:r>
          </w:p>
          <w:p w14:paraId="4101AA96" w14:textId="07ABA0D0" w:rsidR="00C471B7" w:rsidRPr="00C471B7" w:rsidRDefault="00C471B7" w:rsidP="00C471B7">
            <w:pPr>
              <w:pStyle w:val="TableRowCentered"/>
              <w:numPr>
                <w:ilvl w:val="0"/>
                <w:numId w:val="16"/>
              </w:numPr>
              <w:jc w:val="left"/>
              <w:rPr>
                <w:sz w:val="22"/>
                <w:szCs w:val="22"/>
              </w:rPr>
            </w:pPr>
            <w:r>
              <w:rPr>
                <w:sz w:val="22"/>
                <w:szCs w:val="22"/>
              </w:rPr>
              <w:t>Staff CPD for vocabulary – used in lessons across school.</w:t>
            </w:r>
          </w:p>
          <w:p w14:paraId="4701ADFA" w14:textId="77777777" w:rsidR="00F67B0D" w:rsidRDefault="00F67B0D" w:rsidP="00F67B0D">
            <w:pPr>
              <w:pStyle w:val="TableRowCentered"/>
              <w:numPr>
                <w:ilvl w:val="0"/>
                <w:numId w:val="16"/>
              </w:numPr>
              <w:jc w:val="left"/>
              <w:rPr>
                <w:sz w:val="22"/>
                <w:szCs w:val="22"/>
              </w:rPr>
            </w:pPr>
            <w:r>
              <w:rPr>
                <w:sz w:val="22"/>
                <w:szCs w:val="22"/>
              </w:rPr>
              <w:t>Interventions will support language development.</w:t>
            </w:r>
          </w:p>
          <w:p w14:paraId="7265BF0D" w14:textId="77777777" w:rsidR="00F67B0D" w:rsidRDefault="00F67B0D" w:rsidP="00F67B0D">
            <w:pPr>
              <w:pStyle w:val="TableRowCentered"/>
              <w:numPr>
                <w:ilvl w:val="0"/>
                <w:numId w:val="16"/>
              </w:numPr>
              <w:jc w:val="left"/>
              <w:rPr>
                <w:sz w:val="22"/>
                <w:szCs w:val="22"/>
              </w:rPr>
            </w:pPr>
            <w:r>
              <w:rPr>
                <w:sz w:val="22"/>
                <w:szCs w:val="22"/>
              </w:rPr>
              <w:t>Use of books and fostering a love of reading will focus on vocabulary and language development.</w:t>
            </w:r>
          </w:p>
          <w:p w14:paraId="2A7D550B" w14:textId="769854B4" w:rsidR="00F67B0D" w:rsidRDefault="00F67B0D" w:rsidP="00F67B0D">
            <w:pPr>
              <w:pStyle w:val="TableRowCentered"/>
              <w:numPr>
                <w:ilvl w:val="0"/>
                <w:numId w:val="16"/>
              </w:numPr>
              <w:jc w:val="left"/>
              <w:rPr>
                <w:sz w:val="22"/>
                <w:szCs w:val="22"/>
              </w:rPr>
            </w:pPr>
            <w:r>
              <w:rPr>
                <w:sz w:val="22"/>
                <w:szCs w:val="22"/>
              </w:rPr>
              <w:t>EAL children will be provided with additional support to improve their communication and understanding.</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B15337A" w:rsidR="00E66558" w:rsidRDefault="00F67B0D">
            <w:pPr>
              <w:pStyle w:val="TableRow"/>
              <w:rPr>
                <w:sz w:val="22"/>
                <w:szCs w:val="22"/>
              </w:rPr>
            </w:pPr>
            <w:r>
              <w:rPr>
                <w:sz w:val="22"/>
                <w:szCs w:val="22"/>
              </w:rPr>
              <w:t xml:space="preserve">Children will read regularly with their parents/ carers at </w:t>
            </w:r>
            <w:r w:rsidR="006B257B">
              <w:rPr>
                <w:sz w:val="22"/>
                <w:szCs w:val="22"/>
              </w:rPr>
              <w:t>home,</w:t>
            </w:r>
            <w:r>
              <w:rPr>
                <w:sz w:val="22"/>
                <w:szCs w:val="22"/>
              </w:rPr>
              <w:t xml:space="preserve"> and they will understand the importance of early reading and regular reading practise.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C45DA" w14:textId="49007769" w:rsidR="00E66558" w:rsidRDefault="00F67B0D" w:rsidP="00F67B0D">
            <w:pPr>
              <w:pStyle w:val="TableRowCentered"/>
              <w:numPr>
                <w:ilvl w:val="0"/>
                <w:numId w:val="17"/>
              </w:numPr>
              <w:jc w:val="left"/>
              <w:rPr>
                <w:sz w:val="22"/>
                <w:szCs w:val="22"/>
              </w:rPr>
            </w:pPr>
            <w:r>
              <w:rPr>
                <w:sz w:val="22"/>
                <w:szCs w:val="22"/>
              </w:rPr>
              <w:t xml:space="preserve">Guidance provided to parents about how to support reading and the importance of </w:t>
            </w:r>
            <w:r w:rsidR="008C081D">
              <w:rPr>
                <w:sz w:val="22"/>
                <w:szCs w:val="22"/>
              </w:rPr>
              <w:t>reading with their child.</w:t>
            </w:r>
          </w:p>
          <w:p w14:paraId="31F1C9B7" w14:textId="668AD667" w:rsidR="004E3071" w:rsidRDefault="004E3071" w:rsidP="00F67B0D">
            <w:pPr>
              <w:pStyle w:val="TableRowCentered"/>
              <w:numPr>
                <w:ilvl w:val="0"/>
                <w:numId w:val="17"/>
              </w:numPr>
              <w:jc w:val="left"/>
              <w:rPr>
                <w:sz w:val="22"/>
                <w:szCs w:val="22"/>
              </w:rPr>
            </w:pPr>
            <w:r>
              <w:rPr>
                <w:sz w:val="22"/>
                <w:szCs w:val="22"/>
              </w:rPr>
              <w:t>Workshops to be offered so parents/carers see phonics teaching in action.</w:t>
            </w:r>
          </w:p>
          <w:p w14:paraId="6896480B" w14:textId="77777777" w:rsidR="008C081D" w:rsidRDefault="008C081D" w:rsidP="00F67B0D">
            <w:pPr>
              <w:pStyle w:val="TableRowCentered"/>
              <w:numPr>
                <w:ilvl w:val="0"/>
                <w:numId w:val="17"/>
              </w:numPr>
              <w:jc w:val="left"/>
              <w:rPr>
                <w:sz w:val="22"/>
                <w:szCs w:val="22"/>
              </w:rPr>
            </w:pPr>
            <w:r>
              <w:rPr>
                <w:sz w:val="22"/>
                <w:szCs w:val="22"/>
              </w:rPr>
              <w:t>Children are provided with books to read at home which closely match the phonics they have secured in school.</w:t>
            </w:r>
          </w:p>
          <w:p w14:paraId="1CDDE59A" w14:textId="77777777" w:rsidR="008C081D" w:rsidRDefault="008C081D" w:rsidP="00F67B0D">
            <w:pPr>
              <w:pStyle w:val="TableRowCentered"/>
              <w:numPr>
                <w:ilvl w:val="0"/>
                <w:numId w:val="17"/>
              </w:numPr>
              <w:jc w:val="left"/>
              <w:rPr>
                <w:sz w:val="22"/>
                <w:szCs w:val="22"/>
              </w:rPr>
            </w:pPr>
            <w:r>
              <w:rPr>
                <w:sz w:val="22"/>
                <w:szCs w:val="22"/>
              </w:rPr>
              <w:t>Monitoring of reading records shows that the children have read at home.</w:t>
            </w:r>
          </w:p>
          <w:p w14:paraId="5BB09B87" w14:textId="55134D48" w:rsidR="008C081D" w:rsidRDefault="008C081D" w:rsidP="00F67B0D">
            <w:pPr>
              <w:pStyle w:val="TableRowCentered"/>
              <w:numPr>
                <w:ilvl w:val="0"/>
                <w:numId w:val="17"/>
              </w:numPr>
              <w:jc w:val="left"/>
              <w:rPr>
                <w:sz w:val="22"/>
                <w:szCs w:val="22"/>
              </w:rPr>
            </w:pPr>
            <w:r>
              <w:rPr>
                <w:sz w:val="22"/>
                <w:szCs w:val="22"/>
              </w:rPr>
              <w:t>Where parents/ carers are unable to support reading at home, additional support will be provided in school</w:t>
            </w:r>
            <w:r w:rsidR="004E3071">
              <w:rPr>
                <w:sz w:val="22"/>
                <w:szCs w:val="22"/>
              </w:rPr>
              <w:t>.</w:t>
            </w:r>
          </w:p>
          <w:p w14:paraId="7BF36637" w14:textId="2D354D8F" w:rsidR="008C081D" w:rsidRDefault="008C081D" w:rsidP="00F67B0D">
            <w:pPr>
              <w:pStyle w:val="TableRowCentered"/>
              <w:numPr>
                <w:ilvl w:val="0"/>
                <w:numId w:val="17"/>
              </w:numPr>
              <w:jc w:val="left"/>
              <w:rPr>
                <w:sz w:val="22"/>
                <w:szCs w:val="22"/>
              </w:rPr>
            </w:pPr>
            <w:r>
              <w:rPr>
                <w:sz w:val="22"/>
                <w:szCs w:val="22"/>
              </w:rPr>
              <w:t xml:space="preserve">Guidance provided to parents/ carers as children become older, more fluent readers, so that parents/ carers are clear about </w:t>
            </w:r>
            <w:r w:rsidR="00E75CF1">
              <w:rPr>
                <w:sz w:val="22"/>
                <w:szCs w:val="22"/>
              </w:rPr>
              <w:t>how they can support their child.</w:t>
            </w:r>
          </w:p>
          <w:p w14:paraId="775A0D82" w14:textId="77777777" w:rsidR="00E75CF1" w:rsidRDefault="00E75CF1" w:rsidP="00F67B0D">
            <w:pPr>
              <w:pStyle w:val="TableRowCentered"/>
              <w:numPr>
                <w:ilvl w:val="0"/>
                <w:numId w:val="17"/>
              </w:numPr>
              <w:jc w:val="left"/>
              <w:rPr>
                <w:sz w:val="22"/>
                <w:szCs w:val="22"/>
              </w:rPr>
            </w:pPr>
            <w:r>
              <w:rPr>
                <w:sz w:val="22"/>
                <w:szCs w:val="22"/>
              </w:rPr>
              <w:t>Disadvantaged pupils will perform as well as their peers on the Year 1 phonics screening check.</w:t>
            </w:r>
          </w:p>
          <w:p w14:paraId="2A7D550E" w14:textId="538F669D" w:rsidR="004E3071" w:rsidRDefault="004E3071" w:rsidP="00F67B0D">
            <w:pPr>
              <w:pStyle w:val="TableRowCentered"/>
              <w:numPr>
                <w:ilvl w:val="0"/>
                <w:numId w:val="17"/>
              </w:numPr>
              <w:jc w:val="left"/>
              <w:rPr>
                <w:sz w:val="22"/>
                <w:szCs w:val="22"/>
              </w:rPr>
            </w:pPr>
            <w:r>
              <w:rPr>
                <w:sz w:val="22"/>
                <w:szCs w:val="22"/>
              </w:rPr>
              <w:t>Small group phonics “Keep-up” sessions help to close the gap and keep children on track.</w:t>
            </w:r>
          </w:p>
        </w:tc>
      </w:tr>
      <w:tr w:rsidR="00E75CF1" w14:paraId="1C82604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52237" w14:textId="00154359" w:rsidR="00E75CF1" w:rsidRDefault="00E75CF1">
            <w:pPr>
              <w:pStyle w:val="TableRow"/>
              <w:rPr>
                <w:sz w:val="22"/>
                <w:szCs w:val="22"/>
              </w:rPr>
            </w:pPr>
            <w:r>
              <w:rPr>
                <w:sz w:val="22"/>
                <w:szCs w:val="22"/>
              </w:rPr>
              <w:t xml:space="preserve">Children </w:t>
            </w:r>
            <w:r w:rsidR="00585518">
              <w:rPr>
                <w:sz w:val="22"/>
                <w:szCs w:val="22"/>
              </w:rPr>
              <w:t>will display high levels of fluency in relation to basic skills in mathematics. They will be able to recall basic concepts and knowledge with increasing confidence when applying to wider mathematical problems.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A89EF" w14:textId="77777777" w:rsidR="00E75CF1" w:rsidRDefault="00E75CF1" w:rsidP="00F67B0D">
            <w:pPr>
              <w:pStyle w:val="TableRowCentered"/>
              <w:numPr>
                <w:ilvl w:val="0"/>
                <w:numId w:val="17"/>
              </w:numPr>
              <w:jc w:val="left"/>
              <w:rPr>
                <w:sz w:val="22"/>
                <w:szCs w:val="22"/>
              </w:rPr>
            </w:pPr>
            <w:r>
              <w:rPr>
                <w:sz w:val="22"/>
                <w:szCs w:val="22"/>
              </w:rPr>
              <w:t>Children will display high levels of fluency in basic maths skills.</w:t>
            </w:r>
          </w:p>
          <w:p w14:paraId="2C5FA370" w14:textId="77777777" w:rsidR="00E75CF1" w:rsidRDefault="00E75CF1" w:rsidP="00F67B0D">
            <w:pPr>
              <w:pStyle w:val="TableRowCentered"/>
              <w:numPr>
                <w:ilvl w:val="0"/>
                <w:numId w:val="17"/>
              </w:numPr>
              <w:jc w:val="left"/>
              <w:rPr>
                <w:sz w:val="22"/>
                <w:szCs w:val="22"/>
              </w:rPr>
            </w:pPr>
            <w:r>
              <w:rPr>
                <w:sz w:val="22"/>
                <w:szCs w:val="22"/>
              </w:rPr>
              <w:t>Interventions will focus children to embed basic skills and enhance fluency through overlearning and repetition.</w:t>
            </w:r>
          </w:p>
          <w:p w14:paraId="70E9580D" w14:textId="515DB7B0" w:rsidR="00E75CF1" w:rsidRDefault="00E75CF1" w:rsidP="00F67B0D">
            <w:pPr>
              <w:pStyle w:val="TableRowCentered"/>
              <w:numPr>
                <w:ilvl w:val="0"/>
                <w:numId w:val="17"/>
              </w:numPr>
              <w:jc w:val="left"/>
              <w:rPr>
                <w:sz w:val="22"/>
                <w:szCs w:val="22"/>
              </w:rPr>
            </w:pPr>
            <w:r>
              <w:rPr>
                <w:sz w:val="22"/>
                <w:szCs w:val="22"/>
              </w:rPr>
              <w:t>In lessons, children will apply their fluency to varied context and problems.</w:t>
            </w:r>
          </w:p>
          <w:p w14:paraId="209E7210" w14:textId="77777777" w:rsidR="00E75CF1" w:rsidRDefault="00E75CF1" w:rsidP="00F67B0D">
            <w:pPr>
              <w:pStyle w:val="TableRowCentered"/>
              <w:numPr>
                <w:ilvl w:val="0"/>
                <w:numId w:val="17"/>
              </w:numPr>
              <w:jc w:val="left"/>
              <w:rPr>
                <w:sz w:val="22"/>
                <w:szCs w:val="22"/>
              </w:rPr>
            </w:pPr>
            <w:r>
              <w:rPr>
                <w:sz w:val="22"/>
                <w:szCs w:val="22"/>
              </w:rPr>
              <w:t>Assessments will demonstrate the retention of basic skills/ knowledge as scores improve.</w:t>
            </w:r>
          </w:p>
          <w:p w14:paraId="76AE6C6C" w14:textId="51AECC2A" w:rsidR="00E75CF1" w:rsidRDefault="00E75CF1" w:rsidP="00F67B0D">
            <w:pPr>
              <w:pStyle w:val="TableRowCentered"/>
              <w:numPr>
                <w:ilvl w:val="0"/>
                <w:numId w:val="17"/>
              </w:numPr>
              <w:jc w:val="left"/>
              <w:rPr>
                <w:sz w:val="22"/>
                <w:szCs w:val="22"/>
              </w:rPr>
            </w:pPr>
            <w:r>
              <w:rPr>
                <w:sz w:val="22"/>
                <w:szCs w:val="22"/>
              </w:rPr>
              <w:t>Percentage of children reaching ARE in maths will increase at KS1 and KS2.</w:t>
            </w:r>
          </w:p>
        </w:tc>
      </w:tr>
      <w:tr w:rsidR="00C471B7" w14:paraId="1B52FDC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2799F" w14:textId="5A8A2F04" w:rsidR="00C471B7" w:rsidRDefault="00C471B7">
            <w:pPr>
              <w:pStyle w:val="TableRow"/>
              <w:rPr>
                <w:sz w:val="22"/>
                <w:szCs w:val="22"/>
              </w:rPr>
            </w:pPr>
            <w:r>
              <w:rPr>
                <w:sz w:val="22"/>
                <w:szCs w:val="22"/>
              </w:rPr>
              <w:t>Teaching across school will have greater consistency in relation to strategies that support effective learning. Staff will understand why they are required and how to employ them to enable knowledge to be embedded for long-term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0CF4E" w14:textId="7BEE0EAA" w:rsidR="00C471B7" w:rsidRDefault="00C471B7" w:rsidP="00F67B0D">
            <w:pPr>
              <w:pStyle w:val="TableRowCentered"/>
              <w:numPr>
                <w:ilvl w:val="0"/>
                <w:numId w:val="17"/>
              </w:numPr>
              <w:jc w:val="left"/>
              <w:rPr>
                <w:sz w:val="22"/>
                <w:szCs w:val="22"/>
              </w:rPr>
            </w:pPr>
            <w:r>
              <w:rPr>
                <w:sz w:val="22"/>
                <w:szCs w:val="22"/>
              </w:rPr>
              <w:t xml:space="preserve">Deputy Head Teacher to disseminate </w:t>
            </w:r>
            <w:r w:rsidR="00D7226E">
              <w:rPr>
                <w:sz w:val="22"/>
                <w:szCs w:val="22"/>
              </w:rPr>
              <w:t>Rosenshein’s</w:t>
            </w:r>
            <w:r>
              <w:rPr>
                <w:sz w:val="22"/>
                <w:szCs w:val="22"/>
              </w:rPr>
              <w:t xml:space="preserve"> Principles of Instruction to all staff.</w:t>
            </w:r>
          </w:p>
          <w:p w14:paraId="6F115D97" w14:textId="77777777" w:rsidR="00C471B7" w:rsidRDefault="00520546" w:rsidP="00F67B0D">
            <w:pPr>
              <w:pStyle w:val="TableRowCentered"/>
              <w:numPr>
                <w:ilvl w:val="0"/>
                <w:numId w:val="17"/>
              </w:numPr>
              <w:jc w:val="left"/>
              <w:rPr>
                <w:sz w:val="22"/>
                <w:szCs w:val="22"/>
              </w:rPr>
            </w:pPr>
            <w:r>
              <w:rPr>
                <w:sz w:val="22"/>
                <w:szCs w:val="22"/>
              </w:rPr>
              <w:t>Staff have professional conversations using a shared  understanding of the principles of effective learning.</w:t>
            </w:r>
          </w:p>
          <w:p w14:paraId="5360D36B" w14:textId="77777777" w:rsidR="00520546" w:rsidRDefault="00520546" w:rsidP="00F67B0D">
            <w:pPr>
              <w:pStyle w:val="TableRowCentered"/>
              <w:numPr>
                <w:ilvl w:val="0"/>
                <w:numId w:val="17"/>
              </w:numPr>
              <w:jc w:val="left"/>
              <w:rPr>
                <w:sz w:val="22"/>
                <w:szCs w:val="22"/>
              </w:rPr>
            </w:pPr>
            <w:r>
              <w:rPr>
                <w:sz w:val="22"/>
                <w:szCs w:val="22"/>
              </w:rPr>
              <w:t>Pupils learn new material and retain it over the long-term.</w:t>
            </w:r>
          </w:p>
          <w:p w14:paraId="0AC0A3A7" w14:textId="6DCF5AB2" w:rsidR="00520546" w:rsidRDefault="00520546" w:rsidP="00F67B0D">
            <w:pPr>
              <w:pStyle w:val="TableRowCentered"/>
              <w:numPr>
                <w:ilvl w:val="0"/>
                <w:numId w:val="17"/>
              </w:numPr>
              <w:jc w:val="left"/>
              <w:rPr>
                <w:sz w:val="22"/>
                <w:szCs w:val="22"/>
              </w:rPr>
            </w:pPr>
            <w:r>
              <w:rPr>
                <w:sz w:val="22"/>
                <w:szCs w:val="22"/>
              </w:rPr>
              <w:t>Lessons engage children and support their confidence (clear small steps build their understanding systematically).</w:t>
            </w:r>
          </w:p>
        </w:tc>
      </w:tr>
      <w:tr w:rsidR="00E75CF1" w14:paraId="68DC695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FA5C" w14:textId="3CEE8AAB" w:rsidR="00E75CF1" w:rsidRDefault="00E75CF1">
            <w:pPr>
              <w:pStyle w:val="TableRow"/>
              <w:rPr>
                <w:sz w:val="22"/>
                <w:szCs w:val="22"/>
              </w:rPr>
            </w:pPr>
            <w:r>
              <w:rPr>
                <w:sz w:val="22"/>
                <w:szCs w:val="22"/>
              </w:rPr>
              <w:t>Children are supported to share concerns or anxieties, knowing that adults will listen and offer support. Staff support children to feel positive about themselves</w:t>
            </w:r>
            <w:r w:rsidR="00CF0D7E">
              <w:rPr>
                <w:sz w:val="22"/>
                <w:szCs w:val="22"/>
              </w:rPr>
              <w:t xml:space="preserve"> </w:t>
            </w:r>
            <w:r>
              <w:rPr>
                <w:sz w:val="22"/>
                <w:szCs w:val="22"/>
              </w:rPr>
              <w:t>and ready to learn.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8E908" w14:textId="70092A60" w:rsidR="00E75CF1" w:rsidRDefault="00CF0D7E" w:rsidP="00F67B0D">
            <w:pPr>
              <w:pStyle w:val="TableRowCentered"/>
              <w:numPr>
                <w:ilvl w:val="0"/>
                <w:numId w:val="17"/>
              </w:numPr>
              <w:jc w:val="left"/>
              <w:rPr>
                <w:sz w:val="22"/>
                <w:szCs w:val="22"/>
              </w:rPr>
            </w:pPr>
            <w:r>
              <w:rPr>
                <w:sz w:val="22"/>
                <w:szCs w:val="22"/>
              </w:rPr>
              <w:t>1:1 support from T</w:t>
            </w:r>
            <w:r w:rsidR="004E3071">
              <w:rPr>
                <w:sz w:val="22"/>
                <w:szCs w:val="22"/>
              </w:rPr>
              <w:t>A</w:t>
            </w:r>
            <w:r>
              <w:rPr>
                <w:sz w:val="22"/>
                <w:szCs w:val="22"/>
              </w:rPr>
              <w:t>s for children who are identified as needing additional support.</w:t>
            </w:r>
          </w:p>
          <w:p w14:paraId="32F32187" w14:textId="6E559C79" w:rsidR="00CF0D7E" w:rsidRDefault="00CF0D7E" w:rsidP="00F67B0D">
            <w:pPr>
              <w:pStyle w:val="TableRowCentered"/>
              <w:numPr>
                <w:ilvl w:val="0"/>
                <w:numId w:val="17"/>
              </w:numPr>
              <w:jc w:val="left"/>
              <w:rPr>
                <w:sz w:val="22"/>
                <w:szCs w:val="22"/>
              </w:rPr>
            </w:pPr>
            <w:r>
              <w:rPr>
                <w:sz w:val="22"/>
                <w:szCs w:val="22"/>
              </w:rPr>
              <w:t>Rise</w:t>
            </w:r>
            <w:r w:rsidR="00C471B7">
              <w:rPr>
                <w:sz w:val="22"/>
                <w:szCs w:val="22"/>
              </w:rPr>
              <w:t xml:space="preserve"> Team</w:t>
            </w:r>
            <w:r w:rsidR="004E3071">
              <w:rPr>
                <w:sz w:val="22"/>
                <w:szCs w:val="22"/>
              </w:rPr>
              <w:t>/ Children’s Society</w:t>
            </w:r>
            <w:r w:rsidR="00C471B7">
              <w:rPr>
                <w:sz w:val="22"/>
                <w:szCs w:val="22"/>
              </w:rPr>
              <w:t xml:space="preserve"> in</w:t>
            </w:r>
            <w:r>
              <w:rPr>
                <w:sz w:val="22"/>
                <w:szCs w:val="22"/>
              </w:rPr>
              <w:t xml:space="preserve"> school support programme for children experiencing personal challenges.</w:t>
            </w:r>
          </w:p>
          <w:p w14:paraId="67A0C49F" w14:textId="34A1E0E7" w:rsidR="00CF0D7E" w:rsidRDefault="00CF0D7E" w:rsidP="00F67B0D">
            <w:pPr>
              <w:pStyle w:val="TableRowCentered"/>
              <w:numPr>
                <w:ilvl w:val="0"/>
                <w:numId w:val="17"/>
              </w:numPr>
              <w:jc w:val="left"/>
              <w:rPr>
                <w:sz w:val="22"/>
                <w:szCs w:val="22"/>
              </w:rPr>
            </w:pPr>
            <w:r>
              <w:rPr>
                <w:sz w:val="22"/>
                <w:szCs w:val="22"/>
              </w:rPr>
              <w:t xml:space="preserve">Close liaison with outside agencies to provide specialist support where needed </w:t>
            </w:r>
            <w:r w:rsidR="006B257B">
              <w:rPr>
                <w:sz w:val="22"/>
                <w:szCs w:val="22"/>
              </w:rPr>
              <w:t>e.g.,</w:t>
            </w:r>
            <w:r>
              <w:rPr>
                <w:sz w:val="22"/>
                <w:szCs w:val="22"/>
              </w:rPr>
              <w:t xml:space="preserve"> counselling services, Early help, CYPS.</w:t>
            </w:r>
          </w:p>
          <w:p w14:paraId="31035B90" w14:textId="43B05A0B" w:rsidR="00CF0D7E" w:rsidRDefault="00CF0D7E" w:rsidP="00F67B0D">
            <w:pPr>
              <w:pStyle w:val="TableRowCentered"/>
              <w:numPr>
                <w:ilvl w:val="0"/>
                <w:numId w:val="17"/>
              </w:numPr>
              <w:jc w:val="left"/>
              <w:rPr>
                <w:sz w:val="22"/>
                <w:szCs w:val="22"/>
              </w:rPr>
            </w:pPr>
            <w:r>
              <w:rPr>
                <w:sz w:val="22"/>
                <w:szCs w:val="22"/>
              </w:rPr>
              <w:t>Staff work closely with parents and carers to support children in a united approach.</w:t>
            </w:r>
          </w:p>
        </w:tc>
      </w:tr>
      <w:tr w:rsidR="00E75CF1" w14:paraId="2B7176D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46FD5" w14:textId="158CED98" w:rsidR="00E75CF1" w:rsidRDefault="00CF0D7E">
            <w:pPr>
              <w:pStyle w:val="TableRow"/>
              <w:rPr>
                <w:sz w:val="22"/>
                <w:szCs w:val="22"/>
              </w:rPr>
            </w:pPr>
            <w:r>
              <w:rPr>
                <w:sz w:val="22"/>
                <w:szCs w:val="22"/>
              </w:rPr>
              <w:t xml:space="preserve">To support families in offering children a healthy breakfast and </w:t>
            </w:r>
            <w:r w:rsidR="00812436">
              <w:rPr>
                <w:sz w:val="22"/>
                <w:szCs w:val="22"/>
              </w:rPr>
              <w:t>other opportunities for experiences.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3E87" w14:textId="77777777" w:rsidR="00E75CF1" w:rsidRDefault="00812436" w:rsidP="00F67B0D">
            <w:pPr>
              <w:pStyle w:val="TableRowCentered"/>
              <w:numPr>
                <w:ilvl w:val="0"/>
                <w:numId w:val="17"/>
              </w:numPr>
              <w:jc w:val="left"/>
              <w:rPr>
                <w:sz w:val="22"/>
                <w:szCs w:val="22"/>
              </w:rPr>
            </w:pPr>
            <w:r>
              <w:rPr>
                <w:sz w:val="22"/>
                <w:szCs w:val="22"/>
              </w:rPr>
              <w:t>Breakfast Club is free for all children.</w:t>
            </w:r>
          </w:p>
          <w:p w14:paraId="29F99828" w14:textId="77777777" w:rsidR="00812436" w:rsidRDefault="00812436" w:rsidP="00F67B0D">
            <w:pPr>
              <w:pStyle w:val="TableRowCentered"/>
              <w:numPr>
                <w:ilvl w:val="0"/>
                <w:numId w:val="17"/>
              </w:numPr>
              <w:jc w:val="left"/>
              <w:rPr>
                <w:sz w:val="22"/>
                <w:szCs w:val="22"/>
              </w:rPr>
            </w:pPr>
            <w:r>
              <w:rPr>
                <w:sz w:val="22"/>
                <w:szCs w:val="22"/>
              </w:rPr>
              <w:t>Educational visits are subsidised.</w:t>
            </w:r>
          </w:p>
          <w:p w14:paraId="305D6B26" w14:textId="77777777" w:rsidR="00812436" w:rsidRDefault="00812436" w:rsidP="00F67B0D">
            <w:pPr>
              <w:pStyle w:val="TableRowCentered"/>
              <w:numPr>
                <w:ilvl w:val="0"/>
                <w:numId w:val="17"/>
              </w:numPr>
              <w:jc w:val="left"/>
              <w:rPr>
                <w:sz w:val="22"/>
                <w:szCs w:val="22"/>
              </w:rPr>
            </w:pPr>
            <w:r>
              <w:rPr>
                <w:sz w:val="22"/>
                <w:szCs w:val="22"/>
              </w:rPr>
              <w:t>After school clubs are sometimes aimed at particular children.</w:t>
            </w:r>
          </w:p>
          <w:p w14:paraId="7D33131F" w14:textId="21E029C1" w:rsidR="00D7226E" w:rsidRDefault="00D7226E" w:rsidP="00F67B0D">
            <w:pPr>
              <w:pStyle w:val="TableRowCentered"/>
              <w:numPr>
                <w:ilvl w:val="0"/>
                <w:numId w:val="17"/>
              </w:numPr>
              <w:jc w:val="left"/>
              <w:rPr>
                <w:sz w:val="22"/>
                <w:szCs w:val="22"/>
              </w:rPr>
            </w:pPr>
            <w:r>
              <w:rPr>
                <w:sz w:val="22"/>
                <w:szCs w:val="22"/>
              </w:rPr>
              <w:t xml:space="preserve">Cultural Capital is enhanced by experiences and visits, both virtually and in school. </w:t>
            </w:r>
          </w:p>
        </w:tc>
      </w:tr>
    </w:tbl>
    <w:p w14:paraId="60BAD9F6" w14:textId="77777777" w:rsidR="00120AB1" w:rsidRDefault="00120AB1">
      <w:pPr>
        <w:pStyle w:val="Heading2"/>
      </w:pPr>
    </w:p>
    <w:p w14:paraId="2A7D5512" w14:textId="4485563D" w:rsidR="00E66558" w:rsidRDefault="009D71E8" w:rsidP="004062E1">
      <w:pPr>
        <w:suppressAutoHyphens w:val="0"/>
        <w:spacing w:after="0" w:line="240" w:lineRule="auto"/>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0A8400C" w:rsidR="00E66558" w:rsidRDefault="009D71E8">
      <w:r>
        <w:t>Budgeted cost: £</w:t>
      </w:r>
      <w:r w:rsidR="006F429B">
        <w:t>74,745</w:t>
      </w:r>
    </w:p>
    <w:tbl>
      <w:tblPr>
        <w:tblW w:w="5000" w:type="pct"/>
        <w:tblCellMar>
          <w:left w:w="10" w:type="dxa"/>
          <w:right w:w="10" w:type="dxa"/>
        </w:tblCellMar>
        <w:tblLook w:val="04A0" w:firstRow="1" w:lastRow="0" w:firstColumn="1" w:lastColumn="0" w:noHBand="0" w:noVBand="1"/>
      </w:tblPr>
      <w:tblGrid>
        <w:gridCol w:w="1847"/>
        <w:gridCol w:w="5814"/>
        <w:gridCol w:w="1825"/>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19CECC78" w:rsidR="00E66558" w:rsidRDefault="00585518" w:rsidP="00812436">
            <w:pPr>
              <w:pStyle w:val="TableRow"/>
              <w:ind w:left="0"/>
            </w:pPr>
            <w:r>
              <w:t>Continue to p</w:t>
            </w:r>
            <w:r w:rsidR="00812436">
              <w:t>rovide training for teachers with research -based pedagogy so they can refine their teaching.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20C9" w14:textId="5DD7D07C" w:rsidR="00E66558" w:rsidRDefault="00585518">
            <w:pPr>
              <w:pStyle w:val="TableRowCentered"/>
              <w:jc w:val="left"/>
              <w:rPr>
                <w:sz w:val="22"/>
              </w:rPr>
            </w:pPr>
            <w:r>
              <w:rPr>
                <w:sz w:val="22"/>
              </w:rPr>
              <w:t xml:space="preserve">Quality-first teaching that supports all learners to make effective progress is the key aspect for all. </w:t>
            </w:r>
            <w:r w:rsidR="00812436">
              <w:rPr>
                <w:sz w:val="22"/>
              </w:rPr>
              <w:t>The need for teachers to be at their most expert is essential to be able to support children who find learning most challenging. Teachers need to ensure that children efficiently acquire, rehearse and connect background knowledge by providing a good deal of instructional support.</w:t>
            </w:r>
          </w:p>
          <w:p w14:paraId="6160170B" w14:textId="3B660315" w:rsidR="00812436" w:rsidRDefault="00000000">
            <w:pPr>
              <w:pStyle w:val="TableRowCentered"/>
              <w:jc w:val="left"/>
              <w:rPr>
                <w:rStyle w:val="Hyperlink"/>
                <w:sz w:val="22"/>
              </w:rPr>
            </w:pPr>
            <w:hyperlink r:id="rId8" w:history="1">
              <w:r w:rsidR="00812436" w:rsidRPr="00602988">
                <w:rPr>
                  <w:rStyle w:val="Hyperlink"/>
                  <w:sz w:val="22"/>
                </w:rPr>
                <w:t>https://educationendowmentfoundation.org.uk/support-for-schools/school-improvement-planning/1-high-quality-teaching</w:t>
              </w:r>
            </w:hyperlink>
          </w:p>
          <w:p w14:paraId="539114E5" w14:textId="77777777" w:rsidR="00585518" w:rsidRDefault="00585518" w:rsidP="00585518">
            <w:pPr>
              <w:pStyle w:val="TableRowCentered"/>
              <w:ind w:left="0"/>
              <w:jc w:val="left"/>
              <w:rPr>
                <w:sz w:val="22"/>
              </w:rPr>
            </w:pPr>
          </w:p>
          <w:p w14:paraId="2A7D551B" w14:textId="3657CCFF" w:rsidR="00812436" w:rsidRDefault="00812436">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2E5DF7B" w:rsidR="00E66558" w:rsidRDefault="00812436">
            <w:pPr>
              <w:pStyle w:val="TableRowCentered"/>
              <w:jc w:val="left"/>
              <w:rPr>
                <w:sz w:val="22"/>
              </w:rPr>
            </w:pPr>
            <w:r>
              <w:rPr>
                <w:sz w:val="22"/>
              </w:rPr>
              <w:t>1,</w:t>
            </w:r>
            <w:r w:rsidR="00FB5C13">
              <w:rPr>
                <w:sz w:val="22"/>
              </w:rPr>
              <w:t>3,4,5</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9FF3" w14:textId="01DEFD5E" w:rsidR="00932F6F" w:rsidRDefault="00812436">
            <w:pPr>
              <w:pStyle w:val="TableRow"/>
              <w:rPr>
                <w:iCs/>
                <w:sz w:val="22"/>
              </w:rPr>
            </w:pPr>
            <w:r w:rsidRPr="00812436">
              <w:rPr>
                <w:iCs/>
                <w:sz w:val="22"/>
              </w:rPr>
              <w:t>Deployment of teaching assistants to support teachers in the delivery of teaching</w:t>
            </w:r>
            <w:r w:rsidR="00932F6F">
              <w:rPr>
                <w:iCs/>
                <w:sz w:val="22"/>
              </w:rPr>
              <w:t>( reading, writing, phonics,</w:t>
            </w:r>
          </w:p>
          <w:p w14:paraId="6DD85633" w14:textId="0F86E227" w:rsidR="00E66558" w:rsidRDefault="00932F6F">
            <w:pPr>
              <w:pStyle w:val="TableRow"/>
              <w:rPr>
                <w:iCs/>
                <w:sz w:val="22"/>
              </w:rPr>
            </w:pPr>
            <w:r>
              <w:rPr>
                <w:iCs/>
                <w:sz w:val="22"/>
              </w:rPr>
              <w:t>and maths)</w:t>
            </w:r>
            <w:r w:rsidR="00812436" w:rsidRPr="00812436">
              <w:rPr>
                <w:iCs/>
                <w:sz w:val="22"/>
              </w:rPr>
              <w:t xml:space="preserve"> within the classroom.</w:t>
            </w:r>
          </w:p>
          <w:p w14:paraId="2A7D551E" w14:textId="218559D0" w:rsidR="00932F6F" w:rsidRPr="00812436" w:rsidRDefault="00932F6F">
            <w:pPr>
              <w:pStyle w:val="TableRow"/>
              <w:rPr>
                <w:iCs/>
                <w:sz w:val="22"/>
              </w:rPr>
            </w:pPr>
            <w:r>
              <w:rPr>
                <w:iCs/>
                <w:sz w:val="22"/>
              </w:rPr>
              <w:t>(1:4/1:6)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5B84F" w14:textId="08B29803" w:rsidR="00FB5C13" w:rsidRDefault="00932F6F" w:rsidP="00932F6F">
            <w:pPr>
              <w:pStyle w:val="TableRowCentered"/>
              <w:ind w:left="0"/>
              <w:jc w:val="left"/>
              <w:rPr>
                <w:sz w:val="22"/>
              </w:rPr>
            </w:pPr>
            <w:r>
              <w:rPr>
                <w:sz w:val="22"/>
              </w:rPr>
              <w:t>Teaching assistants delivering interventions can improve progress more than when just deployed to support in the classroom.</w:t>
            </w:r>
          </w:p>
          <w:p w14:paraId="467E580C" w14:textId="37794CF3" w:rsidR="00932F6F" w:rsidRDefault="00000000" w:rsidP="00932F6F">
            <w:pPr>
              <w:pStyle w:val="TableRowCentered"/>
              <w:ind w:left="0"/>
              <w:jc w:val="left"/>
              <w:rPr>
                <w:sz w:val="22"/>
              </w:rPr>
            </w:pPr>
            <w:hyperlink r:id="rId9" w:history="1">
              <w:r w:rsidR="00932F6F" w:rsidRPr="008F4AA7">
                <w:rPr>
                  <w:rStyle w:val="Hyperlink"/>
                  <w:sz w:val="22"/>
                </w:rPr>
                <w:t>https://educationendowmentfoundation.org.uk/education-evidence/teaching-learning-toolkit/teaching-assistant-interventions</w:t>
              </w:r>
            </w:hyperlink>
          </w:p>
          <w:p w14:paraId="1B90F838" w14:textId="62AA9DDE" w:rsidR="00932F6F" w:rsidRDefault="00932F6F" w:rsidP="00932F6F">
            <w:pPr>
              <w:pStyle w:val="TableRowCentered"/>
              <w:ind w:left="0"/>
              <w:jc w:val="left"/>
              <w:rPr>
                <w:sz w:val="22"/>
              </w:rPr>
            </w:pPr>
          </w:p>
          <w:p w14:paraId="4677399F" w14:textId="5D41E395" w:rsidR="00932F6F" w:rsidRDefault="00932F6F" w:rsidP="00932F6F">
            <w:pPr>
              <w:pStyle w:val="TableRowCentered"/>
              <w:ind w:left="0"/>
              <w:jc w:val="left"/>
              <w:rPr>
                <w:sz w:val="22"/>
              </w:rPr>
            </w:pPr>
            <w:r>
              <w:rPr>
                <w:sz w:val="22"/>
              </w:rPr>
              <w:t>Targeted phonics interventions have been shown to be more effective when delivered as regular sessions over a period of up to 12 weeks.</w:t>
            </w:r>
          </w:p>
          <w:p w14:paraId="43C4A09F" w14:textId="73AC0134" w:rsidR="00932F6F" w:rsidRDefault="00000000" w:rsidP="00932F6F">
            <w:pPr>
              <w:pStyle w:val="TableRowCentered"/>
              <w:ind w:left="0"/>
              <w:jc w:val="left"/>
              <w:rPr>
                <w:sz w:val="22"/>
              </w:rPr>
            </w:pPr>
            <w:hyperlink r:id="rId10" w:history="1">
              <w:r w:rsidR="00932F6F" w:rsidRPr="008F4AA7">
                <w:rPr>
                  <w:rStyle w:val="Hyperlink"/>
                  <w:sz w:val="22"/>
                </w:rPr>
                <w:t>https://educationendowmentfoundation.org.uk/education-evidence/teaching-learning-toolkit/phonics</w:t>
              </w:r>
            </w:hyperlink>
          </w:p>
          <w:p w14:paraId="2A7D551F" w14:textId="13763619" w:rsidR="00FB5C13" w:rsidRDefault="00FB5C13">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4DA93CD" w:rsidR="00E66558" w:rsidRDefault="00FB5C13">
            <w:pPr>
              <w:pStyle w:val="TableRowCentered"/>
              <w:jc w:val="left"/>
              <w:rPr>
                <w:sz w:val="22"/>
              </w:rPr>
            </w:pPr>
            <w:r>
              <w:rPr>
                <w:sz w:val="22"/>
              </w:rPr>
              <w:t>1,3,</w:t>
            </w:r>
            <w:r w:rsidR="00932F6F">
              <w:rPr>
                <w:sz w:val="22"/>
              </w:rPr>
              <w:t xml:space="preserve">4, </w:t>
            </w:r>
            <w:r>
              <w:rPr>
                <w:sz w:val="22"/>
              </w:rPr>
              <w:t>5</w:t>
            </w:r>
          </w:p>
        </w:tc>
      </w:tr>
      <w:tr w:rsidR="00D7226E" w14:paraId="3F47300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0D530" w14:textId="6B52CCEF" w:rsidR="00D7226E" w:rsidRPr="00812436" w:rsidRDefault="00D7226E">
            <w:pPr>
              <w:pStyle w:val="TableRow"/>
              <w:rPr>
                <w:iCs/>
                <w:sz w:val="22"/>
              </w:rPr>
            </w:pPr>
            <w:r>
              <w:rPr>
                <w:iCs/>
                <w:sz w:val="22"/>
              </w:rPr>
              <w:t>Provide additional staff for Phonics teaching so that groups are smaller.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43C26" w14:textId="77777777" w:rsidR="00D7226E" w:rsidRDefault="00D7226E" w:rsidP="00932F6F">
            <w:pPr>
              <w:pStyle w:val="TableRowCentered"/>
              <w:ind w:left="0"/>
              <w:jc w:val="left"/>
              <w:rPr>
                <w:sz w:val="22"/>
              </w:rPr>
            </w:pPr>
            <w:r>
              <w:rPr>
                <w:sz w:val="22"/>
              </w:rPr>
              <w:t>The smaller the group the bigger the impact is a general principle. Our phonics scheme Little Wandle recommends smaller groups matched closely to phonic ability of the children.</w:t>
            </w:r>
          </w:p>
          <w:p w14:paraId="3BD4B924" w14:textId="59760878" w:rsidR="00D7226E" w:rsidRPr="00D7226E" w:rsidRDefault="00D7226E" w:rsidP="00932F6F">
            <w:pPr>
              <w:pStyle w:val="TableRowCentered"/>
              <w:ind w:left="0"/>
              <w:jc w:val="left"/>
              <w:rPr>
                <w:color w:val="060814"/>
                <w:sz w:val="22"/>
              </w:rPr>
            </w:pPr>
            <w:r w:rsidRPr="00D7226E">
              <w:rPr>
                <w:color w:val="060814"/>
                <w:sz w:val="22"/>
              </w:rPr>
              <w:t>Small group tuition /EEF</w:t>
            </w:r>
          </w:p>
          <w:p w14:paraId="6A3679B8" w14:textId="46E8717E" w:rsidR="00D7226E" w:rsidRPr="00D7226E" w:rsidRDefault="00D7226E" w:rsidP="00932F6F">
            <w:pPr>
              <w:pStyle w:val="TableRowCentered"/>
              <w:ind w:left="0"/>
              <w:jc w:val="left"/>
              <w:rPr>
                <w:color w:val="060814"/>
                <w:sz w:val="22"/>
              </w:rPr>
            </w:pPr>
            <w:r w:rsidRPr="00D7226E">
              <w:rPr>
                <w:color w:val="060814"/>
                <w:sz w:val="22"/>
              </w:rPr>
              <w:t>(educationendownmentfoundation.org.uk)</w:t>
            </w:r>
          </w:p>
          <w:p w14:paraId="5E5F5CEA" w14:textId="70D87A32" w:rsidR="00D7226E" w:rsidRDefault="00D7226E" w:rsidP="00932F6F">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C6BFB" w14:textId="77777777" w:rsidR="00D7226E" w:rsidRDefault="00D7226E">
            <w:pPr>
              <w:pStyle w:val="TableRowCentered"/>
              <w:jc w:val="left"/>
              <w:rPr>
                <w:sz w:val="22"/>
              </w:rPr>
            </w:pPr>
          </w:p>
        </w:tc>
      </w:tr>
      <w:tr w:rsidR="001605E4" w14:paraId="1BA1610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BB2A8" w14:textId="178B2F29" w:rsidR="001605E4" w:rsidRPr="00812436" w:rsidRDefault="00520546">
            <w:pPr>
              <w:pStyle w:val="TableRow"/>
              <w:rPr>
                <w:iCs/>
                <w:sz w:val="22"/>
              </w:rPr>
            </w:pPr>
            <w:r>
              <w:rPr>
                <w:iCs/>
                <w:sz w:val="22"/>
              </w:rPr>
              <w:t>Implement and deliver the Mastering Number Programme for Reception and KS1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982C" w14:textId="78692EBD" w:rsidR="001605E4" w:rsidRDefault="00520546" w:rsidP="00520546">
            <w:pPr>
              <w:pStyle w:val="TableRowCentered"/>
              <w:ind w:left="0"/>
              <w:jc w:val="left"/>
              <w:rPr>
                <w:sz w:val="22"/>
              </w:rPr>
            </w:pPr>
            <w:r>
              <w:rPr>
                <w:sz w:val="22"/>
              </w:rPr>
              <w:t xml:space="preserve">Funded by the Maths Hub and supported by the NCETM. Reported evidence from the Maths Hub that the regular daily practise with the structured approach ensures children have a sound understanding of number which underpins future mathematical success. EEF identifies an additional 5 </w:t>
            </w:r>
            <w:r w:rsidR="006B257B">
              <w:rPr>
                <w:sz w:val="22"/>
              </w:rPr>
              <w:t>month</w:t>
            </w:r>
            <w:r>
              <w:rPr>
                <w:sz w:val="22"/>
              </w:rPr>
              <w:t xml:space="preserve"> progress over the course of a year from a mastery approach.</w:t>
            </w:r>
          </w:p>
          <w:p w14:paraId="68084960" w14:textId="77777777" w:rsidR="00520546" w:rsidRDefault="00520546" w:rsidP="00520546">
            <w:pPr>
              <w:pStyle w:val="TableRowCentered"/>
              <w:ind w:left="0"/>
              <w:jc w:val="left"/>
              <w:rPr>
                <w:sz w:val="22"/>
              </w:rPr>
            </w:pPr>
            <w:r>
              <w:rPr>
                <w:sz w:val="22"/>
              </w:rPr>
              <w:t>Mastery learning/EEF</w:t>
            </w:r>
          </w:p>
          <w:p w14:paraId="4E9181DB" w14:textId="0BD7D1F1" w:rsidR="00520546" w:rsidRDefault="00520546" w:rsidP="00520546">
            <w:pPr>
              <w:pStyle w:val="TableRowCentered"/>
              <w:ind w:left="0"/>
              <w:jc w:val="left"/>
              <w:rPr>
                <w:sz w:val="22"/>
              </w:rPr>
            </w:pPr>
            <w:r>
              <w:rPr>
                <w:sz w:val="22"/>
              </w:rPr>
              <w:t>(educationendowmentfoundation.org.uk)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F7B7E" w14:textId="6A90C206" w:rsidR="001605E4" w:rsidRDefault="004C2BDD">
            <w:pPr>
              <w:pStyle w:val="TableRowCentered"/>
              <w:jc w:val="left"/>
              <w:rPr>
                <w:sz w:val="22"/>
              </w:rPr>
            </w:pPr>
            <w:r>
              <w:rPr>
                <w:sz w:val="22"/>
              </w:rPr>
              <w:t>1,</w:t>
            </w:r>
            <w:r w:rsidR="00932F6F">
              <w:rPr>
                <w:sz w:val="22"/>
              </w:rPr>
              <w:t>5</w:t>
            </w:r>
          </w:p>
        </w:tc>
      </w:tr>
      <w:tr w:rsidR="00932F6F" w14:paraId="1F35D5A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AD98B" w14:textId="2F49D3F4" w:rsidR="00932F6F" w:rsidRDefault="00932F6F">
            <w:pPr>
              <w:pStyle w:val="TableRow"/>
              <w:rPr>
                <w:iCs/>
                <w:sz w:val="22"/>
              </w:rPr>
            </w:pPr>
            <w:r>
              <w:rPr>
                <w:iCs/>
                <w:sz w:val="22"/>
              </w:rPr>
              <w:t>Deployment of teaching assistants to support EAL children with vocabulary (small group 1:2)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C1CD" w14:textId="77777777" w:rsidR="00932F6F" w:rsidRDefault="00932F6F" w:rsidP="00520546">
            <w:pPr>
              <w:pStyle w:val="TableRowCentered"/>
              <w:ind w:left="0"/>
              <w:jc w:val="left"/>
              <w:rPr>
                <w:sz w:val="22"/>
              </w:rPr>
            </w:pPr>
            <w:r>
              <w:rPr>
                <w:sz w:val="22"/>
              </w:rPr>
              <w:t>Evidence of 1:1 and small group tuition is mentioned in previous sections.</w:t>
            </w:r>
          </w:p>
          <w:p w14:paraId="52687AF1" w14:textId="5E9D46DA" w:rsidR="00932F6F" w:rsidRDefault="00932F6F" w:rsidP="00520546">
            <w:pPr>
              <w:pStyle w:val="TableRowCentered"/>
              <w:ind w:left="0"/>
              <w:jc w:val="left"/>
              <w:rPr>
                <w:sz w:val="22"/>
              </w:rPr>
            </w:pPr>
            <w:r>
              <w:rPr>
                <w:sz w:val="22"/>
              </w:rPr>
              <w:t>In order for the EAL children to develop and learn they need an improving vocabulary to enable comprehension. Targeted support will build upon the skills they are developing.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5A67" w14:textId="52B3FDAC" w:rsidR="00932F6F" w:rsidRDefault="00932F6F">
            <w:pPr>
              <w:pStyle w:val="TableRowCentered"/>
              <w:jc w:val="left"/>
              <w:rPr>
                <w:sz w:val="22"/>
              </w:rPr>
            </w:pPr>
            <w:r>
              <w:rPr>
                <w:sz w:val="22"/>
              </w:rPr>
              <w:t>3</w:t>
            </w:r>
          </w:p>
        </w:tc>
      </w:tr>
      <w:tr w:rsidR="00FB5C13" w14:paraId="5A26C9D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4088" w14:textId="7E0D0AD4" w:rsidR="00FB5C13" w:rsidRPr="00812436" w:rsidRDefault="00FB5C13">
            <w:pPr>
              <w:pStyle w:val="TableRow"/>
              <w:rPr>
                <w:iCs/>
                <w:sz w:val="22"/>
              </w:rPr>
            </w:pPr>
            <w:r>
              <w:rPr>
                <w:iCs/>
                <w:sz w:val="22"/>
              </w:rPr>
              <w:t>Provide training for teachers in supporting pupils’ mental  health and well -being.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C7E52" w14:textId="0285A57C" w:rsidR="00FB5C13" w:rsidRDefault="00520546" w:rsidP="00520546">
            <w:pPr>
              <w:pStyle w:val="TableRowCentered"/>
              <w:ind w:left="0"/>
              <w:jc w:val="left"/>
              <w:rPr>
                <w:sz w:val="22"/>
              </w:rPr>
            </w:pPr>
            <w:r>
              <w:rPr>
                <w:sz w:val="22"/>
              </w:rPr>
              <w:t>RISE initiative in school has had</w:t>
            </w:r>
            <w:r w:rsidR="00FB5C13">
              <w:rPr>
                <w:sz w:val="22"/>
              </w:rPr>
              <w:t xml:space="preserve"> a good success in supporting children’s mental well-being. Sharing good practise with staff will enable more children to be supported.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6CC41" w14:textId="6683467F" w:rsidR="00FB5C13" w:rsidRDefault="00C92EAD">
            <w:pPr>
              <w:pStyle w:val="TableRowCentered"/>
              <w:jc w:val="left"/>
              <w:rPr>
                <w:sz w:val="22"/>
              </w:rPr>
            </w:pPr>
            <w:r>
              <w:rPr>
                <w:sz w:val="22"/>
              </w:rPr>
              <w:t>6</w:t>
            </w:r>
          </w:p>
        </w:tc>
      </w:tr>
    </w:tbl>
    <w:p w14:paraId="2A7D5522" w14:textId="77777777" w:rsidR="00E66558" w:rsidRDefault="00E66558">
      <w:pPr>
        <w:keepNext/>
        <w:spacing w:after="60"/>
        <w:outlineLvl w:val="1"/>
      </w:pPr>
    </w:p>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2F5252F2" w:rsidR="00E66558" w:rsidRDefault="009D71E8">
      <w:pPr>
        <w:spacing w:before="240" w:after="120"/>
      </w:pPr>
      <w:r>
        <w:t>Budgeted cost: £</w:t>
      </w:r>
      <w:r w:rsidR="006F429B">
        <w:t>18,345</w:t>
      </w:r>
    </w:p>
    <w:tbl>
      <w:tblPr>
        <w:tblW w:w="5000" w:type="pct"/>
        <w:tblCellMar>
          <w:left w:w="10" w:type="dxa"/>
          <w:right w:w="10" w:type="dxa"/>
        </w:tblCellMar>
        <w:tblLook w:val="04A0" w:firstRow="1" w:lastRow="0" w:firstColumn="1" w:lastColumn="0" w:noHBand="0" w:noVBand="1"/>
      </w:tblPr>
      <w:tblGrid>
        <w:gridCol w:w="1519"/>
        <w:gridCol w:w="6600"/>
        <w:gridCol w:w="1367"/>
      </w:tblGrid>
      <w:tr w:rsidR="00E66558" w14:paraId="2A7D5537" w14:textId="77777777" w:rsidTr="001605E4">
        <w:tc>
          <w:tcPr>
            <w:tcW w:w="15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66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3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001605E4">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50F5118" w:rsidR="00E66558" w:rsidRPr="00D5748D" w:rsidRDefault="00D5748D" w:rsidP="00D5748D">
            <w:pPr>
              <w:pStyle w:val="TableRow"/>
              <w:ind w:left="0"/>
              <w:rPr>
                <w:iCs/>
                <w:sz w:val="22"/>
              </w:rPr>
            </w:pPr>
            <w:r>
              <w:rPr>
                <w:iCs/>
                <w:sz w:val="22"/>
              </w:rPr>
              <w:t>Encouraging disadvantaged children to attend after school clubs for their own well-being and experience by subsidising the cost of attending.</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F823" w14:textId="65B126D8" w:rsidR="00D5748D" w:rsidRDefault="00D5748D">
            <w:pPr>
              <w:pStyle w:val="TableRowCentered"/>
              <w:jc w:val="left"/>
              <w:rPr>
                <w:sz w:val="22"/>
              </w:rPr>
            </w:pPr>
            <w:r>
              <w:rPr>
                <w:sz w:val="22"/>
              </w:rPr>
              <w:t>There are wider benefits from regular physical activity in terms of physical development, health and well-being as well as other potential benefits such as improved attendance. Pupils from disadvantaged backgrounds may be less likely to be able to benefit from sport clubs and other physical activities outside of school due to financial costs</w:t>
            </w:r>
            <w:r w:rsidR="00932DCB">
              <w:rPr>
                <w:sz w:val="22"/>
              </w:rPr>
              <w:t>. By providing physical activities either free or subsidised, schools give pupils access to benefits and opportunities that might not otherwise be available to them.</w:t>
            </w:r>
          </w:p>
          <w:p w14:paraId="7D734A6C" w14:textId="3B50E5CA" w:rsidR="00D5748D" w:rsidRDefault="00000000">
            <w:pPr>
              <w:pStyle w:val="TableRowCentered"/>
              <w:jc w:val="left"/>
              <w:rPr>
                <w:sz w:val="22"/>
              </w:rPr>
            </w:pPr>
            <w:hyperlink r:id="rId11" w:history="1">
              <w:r w:rsidR="00D5748D" w:rsidRPr="00177585">
                <w:rPr>
                  <w:rStyle w:val="Hyperlink"/>
                  <w:sz w:val="22"/>
                </w:rPr>
                <w:t>https://educationendowmentfoundation.org.uk/education-evidence/teaching-learning-toolkit/physical-activity</w:t>
              </w:r>
            </w:hyperlink>
          </w:p>
          <w:p w14:paraId="2A7D553D" w14:textId="0F2AF12F" w:rsidR="00E66558" w:rsidRDefault="00D5748D">
            <w:pPr>
              <w:pStyle w:val="TableRowCentered"/>
              <w:jc w:val="left"/>
              <w:rPr>
                <w:sz w:val="22"/>
              </w:rPr>
            </w:pPr>
            <w:r>
              <w:rPr>
                <w:sz w:val="22"/>
              </w:rPr>
              <w:t xml:space="preserve"> </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5101B08" w:rsidR="00E66558" w:rsidRDefault="00423482">
            <w:pPr>
              <w:pStyle w:val="TableRowCentered"/>
              <w:jc w:val="left"/>
              <w:rPr>
                <w:sz w:val="22"/>
              </w:rPr>
            </w:pPr>
            <w:r>
              <w:rPr>
                <w:sz w:val="22"/>
              </w:rPr>
              <w:t>6</w:t>
            </w:r>
          </w:p>
        </w:tc>
      </w:tr>
      <w:tr w:rsidR="00907B83" w14:paraId="550A6C30" w14:textId="77777777" w:rsidTr="001605E4">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9A441" w14:textId="068D545F" w:rsidR="00907B83" w:rsidRDefault="00907B83" w:rsidP="00907B83">
            <w:pPr>
              <w:pStyle w:val="TableRow"/>
              <w:ind w:left="0"/>
              <w:rPr>
                <w:iCs/>
                <w:sz w:val="22"/>
              </w:rPr>
            </w:pPr>
            <w:r>
              <w:rPr>
                <w:iCs/>
                <w:sz w:val="22"/>
              </w:rPr>
              <w:t>Discretely subsidise other activities for families who are finding the cost of living challenging so that children’s participation in wider events is not affected.</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31DB2" w14:textId="77777777" w:rsidR="00907B83" w:rsidRDefault="00907B83" w:rsidP="00907B83">
            <w:pPr>
              <w:pStyle w:val="TableRowCentered"/>
              <w:jc w:val="left"/>
              <w:rPr>
                <w:sz w:val="22"/>
              </w:rPr>
            </w:pPr>
            <w:r>
              <w:rPr>
                <w:sz w:val="22"/>
              </w:rPr>
              <w:t>There are wider benefits from regular physical activity in terms of physical development, health and well-being as well as other potential benefits such as improved attendance. Pupils from disadvantaged backgrounds may be less likely to be able to benefit from sport clubs and other physical activities outside of school due to financial costs. By providing physical activities either free or subsidised, schools give pupils access to benefits and opportunities that might not otherwise be available to them.</w:t>
            </w:r>
          </w:p>
          <w:p w14:paraId="4157230F" w14:textId="77777777" w:rsidR="00907B83" w:rsidRDefault="00000000" w:rsidP="00907B83">
            <w:pPr>
              <w:pStyle w:val="TableRowCentered"/>
              <w:jc w:val="left"/>
              <w:rPr>
                <w:sz w:val="22"/>
              </w:rPr>
            </w:pPr>
            <w:hyperlink r:id="rId12" w:history="1">
              <w:r w:rsidR="00907B83" w:rsidRPr="00177585">
                <w:rPr>
                  <w:rStyle w:val="Hyperlink"/>
                  <w:sz w:val="22"/>
                </w:rPr>
                <w:t>https://educationendowmentfoundation.org.uk/education-evidence/teaching-learning-toolkit/physical-activity</w:t>
              </w:r>
            </w:hyperlink>
          </w:p>
          <w:p w14:paraId="749F1618" w14:textId="46E8D7C8" w:rsidR="00907B83" w:rsidRDefault="00907B83" w:rsidP="00907B83">
            <w:pPr>
              <w:pStyle w:val="TableRowCentered"/>
              <w:jc w:val="left"/>
              <w:rPr>
                <w:sz w:val="22"/>
              </w:rPr>
            </w:pPr>
            <w:r>
              <w:rPr>
                <w:sz w:val="22"/>
              </w:rPr>
              <w:t xml:space="preserve"> </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F97AC" w14:textId="6DAAEB9F" w:rsidR="00907B83" w:rsidRDefault="00907B83" w:rsidP="00907B83">
            <w:pPr>
              <w:pStyle w:val="TableRowCentered"/>
              <w:jc w:val="left"/>
              <w:rPr>
                <w:sz w:val="22"/>
              </w:rPr>
            </w:pPr>
            <w:r>
              <w:rPr>
                <w:sz w:val="22"/>
              </w:rPr>
              <w:t>6</w:t>
            </w:r>
          </w:p>
        </w:tc>
      </w:tr>
      <w:tr w:rsidR="00907B83" w14:paraId="3C6C1510" w14:textId="77777777" w:rsidTr="001605E4">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872B8" w14:textId="275939EE" w:rsidR="00907B83" w:rsidRDefault="00907B83" w:rsidP="00907B83">
            <w:pPr>
              <w:pStyle w:val="TableRow"/>
              <w:ind w:left="0"/>
              <w:rPr>
                <w:iCs/>
                <w:sz w:val="22"/>
              </w:rPr>
            </w:pPr>
            <w:r>
              <w:rPr>
                <w:iCs/>
                <w:sz w:val="22"/>
              </w:rPr>
              <w:t>SLT member to liaise with parents/carers where there are issues with attendance and offer support as appropriate.</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E757A" w14:textId="77777777" w:rsidR="00907B83" w:rsidRDefault="00907B83" w:rsidP="00907B83">
            <w:pPr>
              <w:pStyle w:val="TableRowCentered"/>
              <w:jc w:val="left"/>
              <w:rPr>
                <w:sz w:val="22"/>
              </w:rPr>
            </w:pPr>
            <w:r>
              <w:rPr>
                <w:sz w:val="22"/>
              </w:rPr>
              <w:t>DFE guidance on improving school attendance has been informed by engagement with school that have significantly reduced levels of absence and persistent absence. Ideas from guide will be used by SLT in their approach.</w:t>
            </w:r>
          </w:p>
          <w:p w14:paraId="7AFAB824" w14:textId="72A3AEB1" w:rsidR="00907B83" w:rsidRDefault="00000000" w:rsidP="00907B83">
            <w:pPr>
              <w:pStyle w:val="TableRowCentered"/>
              <w:jc w:val="left"/>
              <w:rPr>
                <w:sz w:val="22"/>
              </w:rPr>
            </w:pPr>
            <w:hyperlink r:id="rId13" w:history="1">
              <w:r w:rsidR="00907B83" w:rsidRPr="00177585">
                <w:rPr>
                  <w:rStyle w:val="Hyperlink"/>
                  <w:sz w:val="22"/>
                </w:rPr>
                <w:t>https://www.gov.uk/governmentpublications/schoolattendance/framework-for-securing-full-attendance-actions-for-schools-and-for-local-authorities</w:t>
              </w:r>
            </w:hyperlink>
          </w:p>
          <w:p w14:paraId="79B5E06C" w14:textId="258F068B" w:rsidR="00907B83" w:rsidRDefault="00907B83" w:rsidP="00907B83">
            <w:pPr>
              <w:pStyle w:val="TableRowCentered"/>
              <w:jc w:val="left"/>
              <w:rPr>
                <w:sz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786F" w14:textId="68D471DF" w:rsidR="00907B83" w:rsidRDefault="00907B83" w:rsidP="00907B83">
            <w:pPr>
              <w:pStyle w:val="TableRowCentered"/>
              <w:jc w:val="left"/>
              <w:rPr>
                <w:sz w:val="22"/>
              </w:rPr>
            </w:pPr>
            <w:r>
              <w:rPr>
                <w:sz w:val="22"/>
              </w:rPr>
              <w:t>2</w:t>
            </w:r>
          </w:p>
        </w:tc>
      </w:tr>
      <w:tr w:rsidR="00907B83" w14:paraId="71B6F7DE" w14:textId="77777777" w:rsidTr="001605E4">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BB06" w14:textId="327EC9B4" w:rsidR="00907B83" w:rsidRDefault="00907B83" w:rsidP="00907B83">
            <w:pPr>
              <w:pStyle w:val="TableRow"/>
              <w:ind w:left="0"/>
              <w:rPr>
                <w:iCs/>
                <w:sz w:val="22"/>
              </w:rPr>
            </w:pPr>
            <w:r>
              <w:rPr>
                <w:iCs/>
                <w:sz w:val="22"/>
              </w:rPr>
              <w:t>1:1 support, small group support offered to children with mental health, SEND difficulties or home issues by school staff or by RISE mental health practitioners.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71EC" w14:textId="77777777" w:rsidR="00907B83" w:rsidRDefault="00907B83" w:rsidP="00907B83">
            <w:pPr>
              <w:pStyle w:val="TableRowCentered"/>
              <w:jc w:val="left"/>
              <w:rPr>
                <w:sz w:val="22"/>
              </w:rPr>
            </w:pPr>
            <w:r>
              <w:rPr>
                <w:sz w:val="22"/>
              </w:rPr>
              <w:t>There are a number of children who require specialist support beyond the capability of the school staff to support their personal/ emotional development. In order to help the children to focus in school and achieve highly we have to support them appropriately. We refer to external agencies where needed too.</w:t>
            </w:r>
          </w:p>
          <w:p w14:paraId="083BD266" w14:textId="77777777" w:rsidR="00907B83" w:rsidRDefault="00907B83" w:rsidP="00907B83">
            <w:pPr>
              <w:pStyle w:val="TableRowCentered"/>
              <w:jc w:val="left"/>
              <w:rPr>
                <w:sz w:val="22"/>
              </w:rPr>
            </w:pPr>
          </w:p>
          <w:p w14:paraId="0CA9C01B" w14:textId="6CA0BE42" w:rsidR="00907B83" w:rsidRDefault="00907B83" w:rsidP="00907B83">
            <w:pPr>
              <w:pStyle w:val="TableRowCentered"/>
              <w:jc w:val="left"/>
              <w:rPr>
                <w:sz w:val="22"/>
              </w:rPr>
            </w:pPr>
            <w:r>
              <w:rPr>
                <w:sz w:val="22"/>
              </w:rPr>
              <w:t>Several children have worry boxes or other supportive equipment in school where they can share their worries with key adults.</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B8700" w14:textId="40CA409E" w:rsidR="00907B83" w:rsidRDefault="00907B83" w:rsidP="00907B83">
            <w:pPr>
              <w:pStyle w:val="TableRowCentered"/>
              <w:jc w:val="left"/>
              <w:rPr>
                <w:sz w:val="22"/>
              </w:rPr>
            </w:pPr>
            <w:r>
              <w:rPr>
                <w:sz w:val="22"/>
              </w:rPr>
              <w:t>6,2</w:t>
            </w:r>
          </w:p>
        </w:tc>
      </w:tr>
      <w:tr w:rsidR="00907B83" w14:paraId="707B07D0" w14:textId="77777777" w:rsidTr="001605E4">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A3B85" w14:textId="77777777" w:rsidR="00907B83" w:rsidRDefault="00907B83" w:rsidP="00907B83">
            <w:pPr>
              <w:pStyle w:val="TableRow"/>
              <w:ind w:left="0"/>
              <w:rPr>
                <w:sz w:val="22"/>
                <w:szCs w:val="22"/>
              </w:rPr>
            </w:pPr>
            <w:r w:rsidRPr="001605E4">
              <w:rPr>
                <w:sz w:val="22"/>
                <w:szCs w:val="22"/>
              </w:rPr>
              <w:t>Encouraging children disadvantaged children to attend Breakfast club.</w:t>
            </w:r>
          </w:p>
          <w:p w14:paraId="516155D6" w14:textId="13019F56" w:rsidR="00907B83" w:rsidRDefault="00907B83" w:rsidP="00907B83">
            <w:pPr>
              <w:pStyle w:val="TableRow"/>
              <w:ind w:left="0"/>
              <w:rPr>
                <w:iCs/>
                <w:sz w:val="22"/>
                <w:szCs w:val="22"/>
              </w:rPr>
            </w:pPr>
            <w:r>
              <w:rPr>
                <w:iCs/>
                <w:sz w:val="22"/>
                <w:szCs w:val="22"/>
              </w:rPr>
              <w:t>Subsidise educational visits.</w:t>
            </w:r>
          </w:p>
          <w:p w14:paraId="7F759AFE" w14:textId="2B1D02D0" w:rsidR="00907B83" w:rsidRDefault="00907B83" w:rsidP="00907B83">
            <w:pPr>
              <w:pStyle w:val="TableRow"/>
              <w:ind w:left="0"/>
              <w:rPr>
                <w:iCs/>
                <w:sz w:val="22"/>
              </w:rPr>
            </w:pPr>
            <w:r>
              <w:rPr>
                <w:iCs/>
                <w:sz w:val="22"/>
              </w:rPr>
              <w:t>Provide uniform where necessary.</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7DEC" w14:textId="6E6EE17B" w:rsidR="00907B83" w:rsidRDefault="00907B83" w:rsidP="00907B83">
            <w:pPr>
              <w:pStyle w:val="TableRowCentered"/>
              <w:numPr>
                <w:ilvl w:val="0"/>
                <w:numId w:val="20"/>
              </w:numPr>
              <w:jc w:val="left"/>
              <w:rPr>
                <w:sz w:val="22"/>
              </w:rPr>
            </w:pPr>
            <w:r>
              <w:rPr>
                <w:sz w:val="22"/>
              </w:rPr>
              <w:t>Children have had breakfast and are ready to start the day.</w:t>
            </w:r>
          </w:p>
          <w:p w14:paraId="5DC8003A" w14:textId="743E2879" w:rsidR="00907B83" w:rsidRDefault="00907B83" w:rsidP="00907B83">
            <w:pPr>
              <w:pStyle w:val="TableRowCentered"/>
              <w:numPr>
                <w:ilvl w:val="0"/>
                <w:numId w:val="20"/>
              </w:numPr>
              <w:jc w:val="left"/>
              <w:rPr>
                <w:sz w:val="22"/>
              </w:rPr>
            </w:pPr>
            <w:r>
              <w:rPr>
                <w:sz w:val="22"/>
              </w:rPr>
              <w:t xml:space="preserve">Children have access to a wide range of experiences. </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97F2" w14:textId="2A1DB388" w:rsidR="00907B83" w:rsidRDefault="00907B83" w:rsidP="00907B83">
            <w:pPr>
              <w:pStyle w:val="TableRowCentered"/>
              <w:jc w:val="left"/>
              <w:rPr>
                <w:sz w:val="22"/>
              </w:rPr>
            </w:pPr>
            <w:r>
              <w:rPr>
                <w:sz w:val="22"/>
              </w:rPr>
              <w:t>7</w:t>
            </w:r>
          </w:p>
        </w:tc>
      </w:tr>
    </w:tbl>
    <w:p w14:paraId="2A7D5540" w14:textId="77777777" w:rsidR="00E66558" w:rsidRDefault="00E66558">
      <w:pPr>
        <w:spacing w:before="240" w:after="0"/>
        <w:rPr>
          <w:b/>
          <w:bCs/>
          <w:color w:val="104F75"/>
          <w:sz w:val="28"/>
          <w:szCs w:val="28"/>
        </w:rPr>
      </w:pPr>
    </w:p>
    <w:p w14:paraId="2A7D5541" w14:textId="343287D1" w:rsidR="00E66558" w:rsidRDefault="009D71E8" w:rsidP="00120AB1">
      <w:r>
        <w:rPr>
          <w:b/>
          <w:bCs/>
          <w:color w:val="104F75"/>
          <w:sz w:val="28"/>
          <w:szCs w:val="28"/>
        </w:rPr>
        <w:t xml:space="preserve">Total budgeted cost: £ </w:t>
      </w:r>
      <w:r w:rsidR="006F429B">
        <w:rPr>
          <w:i/>
          <w:iCs/>
          <w:color w:val="104F75"/>
          <w:sz w:val="28"/>
          <w:szCs w:val="28"/>
        </w:rPr>
        <w:t>93,090</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5CEB8D78" w:rsidR="00E66558" w:rsidRDefault="009D71E8">
      <w:r>
        <w:t>This details the impact that our pupil premium activity had on pupils in the 202</w:t>
      </w:r>
      <w:r w:rsidR="00D93338">
        <w:t>2-2023</w:t>
      </w:r>
      <w:r w:rsidR="0062583E">
        <w:t xml:space="preserve">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07167" w14:textId="64B7FC1A" w:rsidR="00907B83" w:rsidRDefault="00907B83" w:rsidP="0062583E">
            <w:pPr>
              <w:spacing w:after="0"/>
              <w:rPr>
                <w:u w:val="single"/>
                <w:lang w:eastAsia="en-US"/>
              </w:rPr>
            </w:pPr>
            <w:r>
              <w:rPr>
                <w:u w:val="single"/>
                <w:lang w:eastAsia="en-US"/>
              </w:rPr>
              <w:t>Statutory Assessments end of 2022-2023</w:t>
            </w:r>
          </w:p>
          <w:p w14:paraId="048FC0AA" w14:textId="511E160A" w:rsidR="0062583E" w:rsidRPr="004062E1" w:rsidRDefault="00C00588" w:rsidP="0062583E">
            <w:pPr>
              <w:spacing w:after="0"/>
              <w:rPr>
                <w:u w:val="single"/>
                <w:lang w:eastAsia="en-US"/>
              </w:rPr>
            </w:pPr>
            <w:r>
              <w:rPr>
                <w:u w:val="single"/>
                <w:lang w:eastAsia="en-US"/>
              </w:rPr>
              <w:t>Reception Good Level of Development</w:t>
            </w:r>
          </w:p>
          <w:p w14:paraId="4C1E9233" w14:textId="72B4378A" w:rsidR="00F3361B" w:rsidRDefault="00C00588" w:rsidP="00407BAD">
            <w:pPr>
              <w:spacing w:after="0"/>
              <w:rPr>
                <w:iCs/>
                <w:lang w:eastAsia="en-US"/>
              </w:rPr>
            </w:pPr>
            <w:r>
              <w:rPr>
                <w:iCs/>
                <w:lang w:eastAsia="en-US"/>
              </w:rPr>
              <w:t xml:space="preserve">PP 75% </w:t>
            </w:r>
            <w:r w:rsidR="00151B9B">
              <w:rPr>
                <w:iCs/>
                <w:lang w:eastAsia="en-US"/>
              </w:rPr>
              <w:t>(3 out of 4 children)</w:t>
            </w:r>
            <w:r>
              <w:rPr>
                <w:iCs/>
                <w:lang w:eastAsia="en-US"/>
              </w:rPr>
              <w:t xml:space="preserve">  Non-PP 54%</w:t>
            </w:r>
            <w:r w:rsidR="00151B9B">
              <w:rPr>
                <w:iCs/>
                <w:lang w:eastAsia="en-US"/>
              </w:rPr>
              <w:t xml:space="preserve"> (7 out of 13 children)</w:t>
            </w:r>
          </w:p>
          <w:p w14:paraId="6125E508" w14:textId="1DD4A973" w:rsidR="00151B9B" w:rsidRDefault="00151B9B" w:rsidP="00407BAD">
            <w:pPr>
              <w:spacing w:after="0"/>
              <w:rPr>
                <w:iCs/>
                <w:lang w:eastAsia="en-US"/>
              </w:rPr>
            </w:pPr>
            <w:r>
              <w:rPr>
                <w:iCs/>
                <w:lang w:eastAsia="en-US"/>
              </w:rPr>
              <w:t>PP children performed better than Non- PP children.</w:t>
            </w:r>
          </w:p>
          <w:p w14:paraId="02756B8F" w14:textId="6DAC0B10" w:rsidR="00151B9B" w:rsidRDefault="00151B9B" w:rsidP="00407BAD">
            <w:pPr>
              <w:spacing w:after="0"/>
              <w:rPr>
                <w:iCs/>
                <w:lang w:eastAsia="en-US"/>
              </w:rPr>
            </w:pPr>
          </w:p>
          <w:p w14:paraId="7C3154E7" w14:textId="10804AA6" w:rsidR="00151B9B" w:rsidRPr="003C135D" w:rsidRDefault="00151B9B" w:rsidP="00407BAD">
            <w:pPr>
              <w:spacing w:after="0"/>
              <w:rPr>
                <w:iCs/>
                <w:u w:val="single"/>
                <w:lang w:eastAsia="en-US"/>
              </w:rPr>
            </w:pPr>
            <w:r w:rsidRPr="003C135D">
              <w:rPr>
                <w:iCs/>
                <w:u w:val="single"/>
                <w:lang w:eastAsia="en-US"/>
              </w:rPr>
              <w:t>Year 1 Phonics Check</w:t>
            </w:r>
          </w:p>
          <w:p w14:paraId="24BC74CF" w14:textId="40CAC053" w:rsidR="00151B9B" w:rsidRDefault="00151B9B" w:rsidP="00407BAD">
            <w:pPr>
              <w:spacing w:after="0"/>
              <w:rPr>
                <w:iCs/>
                <w:lang w:eastAsia="en-US"/>
              </w:rPr>
            </w:pPr>
            <w:r>
              <w:rPr>
                <w:iCs/>
                <w:lang w:eastAsia="en-US"/>
              </w:rPr>
              <w:t>PP 40% (2 out of 5 children)  Non-PP 75% (12 out of 16 children)</w:t>
            </w:r>
          </w:p>
          <w:p w14:paraId="3D40F649" w14:textId="4AF5928F" w:rsidR="00151B9B" w:rsidRDefault="00151B9B" w:rsidP="00407BAD">
            <w:pPr>
              <w:spacing w:after="0"/>
              <w:rPr>
                <w:iCs/>
                <w:lang w:eastAsia="en-US"/>
              </w:rPr>
            </w:pPr>
            <w:r>
              <w:rPr>
                <w:iCs/>
                <w:lang w:eastAsia="en-US"/>
              </w:rPr>
              <w:t>Ongoing work to support the children to secure this area of need in the new academic year as there is still a gap between those who are PP and those who are not.</w:t>
            </w:r>
          </w:p>
          <w:p w14:paraId="4A044D84" w14:textId="221EAB6E" w:rsidR="00151B9B" w:rsidRDefault="00151B9B" w:rsidP="00407BAD">
            <w:pPr>
              <w:spacing w:after="0"/>
              <w:rPr>
                <w:iCs/>
                <w:lang w:eastAsia="en-US"/>
              </w:rPr>
            </w:pPr>
          </w:p>
          <w:p w14:paraId="0DA352B6" w14:textId="0A5B7CF8" w:rsidR="00151B9B" w:rsidRDefault="003C135D" w:rsidP="00407BAD">
            <w:pPr>
              <w:spacing w:after="0"/>
              <w:rPr>
                <w:iCs/>
                <w:u w:val="single"/>
                <w:lang w:eastAsia="en-US"/>
              </w:rPr>
            </w:pPr>
            <w:r w:rsidRPr="003C135D">
              <w:rPr>
                <w:iCs/>
                <w:u w:val="single"/>
                <w:lang w:eastAsia="en-US"/>
              </w:rPr>
              <w:t xml:space="preserve">End of KS1 Outcomes- PP compared to </w:t>
            </w:r>
            <w:r w:rsidR="00735678" w:rsidRPr="003C135D">
              <w:rPr>
                <w:iCs/>
                <w:u w:val="single"/>
                <w:lang w:eastAsia="en-US"/>
              </w:rPr>
              <w:t>Non-PP</w:t>
            </w:r>
          </w:p>
          <w:tbl>
            <w:tblPr>
              <w:tblStyle w:val="TableGrid"/>
              <w:tblW w:w="0" w:type="auto"/>
              <w:tblLook w:val="04A0" w:firstRow="1" w:lastRow="0" w:firstColumn="1" w:lastColumn="0" w:noHBand="0" w:noVBand="1"/>
            </w:tblPr>
            <w:tblGrid>
              <w:gridCol w:w="1853"/>
              <w:gridCol w:w="942"/>
              <w:gridCol w:w="911"/>
              <w:gridCol w:w="978"/>
              <w:gridCol w:w="875"/>
              <w:gridCol w:w="818"/>
              <w:gridCol w:w="1036"/>
              <w:gridCol w:w="960"/>
              <w:gridCol w:w="894"/>
            </w:tblGrid>
            <w:tr w:rsidR="003C135D" w14:paraId="1C0E02C2" w14:textId="77777777" w:rsidTr="003C135D">
              <w:tc>
                <w:tcPr>
                  <w:tcW w:w="1853" w:type="dxa"/>
                  <w:vMerge w:val="restart"/>
                </w:tcPr>
                <w:p w14:paraId="03473B36" w14:textId="7A72B63A" w:rsidR="003C135D" w:rsidRDefault="003C135D" w:rsidP="00407BAD">
                  <w:pPr>
                    <w:spacing w:after="0"/>
                    <w:rPr>
                      <w:iCs/>
                      <w:lang w:eastAsia="en-US"/>
                    </w:rPr>
                  </w:pPr>
                  <w:bookmarkStart w:id="17" w:name="_Hlk146801477"/>
                  <w:r>
                    <w:rPr>
                      <w:iCs/>
                      <w:lang w:eastAsia="en-US"/>
                    </w:rPr>
                    <w:t>Year 2 19 children (</w:t>
                  </w:r>
                  <w:r w:rsidR="00FF24C8">
                    <w:rPr>
                      <w:iCs/>
                      <w:lang w:eastAsia="en-US"/>
                    </w:rPr>
                    <w:t>8</w:t>
                  </w:r>
                  <w:r>
                    <w:rPr>
                      <w:iCs/>
                      <w:lang w:eastAsia="en-US"/>
                    </w:rPr>
                    <w:t xml:space="preserve"> PP)</w:t>
                  </w:r>
                </w:p>
              </w:tc>
              <w:tc>
                <w:tcPr>
                  <w:tcW w:w="1853" w:type="dxa"/>
                  <w:gridSpan w:val="2"/>
                </w:tcPr>
                <w:p w14:paraId="5EB7305A" w14:textId="4F360940" w:rsidR="003C135D" w:rsidRDefault="003C135D" w:rsidP="00407BAD">
                  <w:pPr>
                    <w:spacing w:after="0"/>
                    <w:rPr>
                      <w:iCs/>
                      <w:lang w:eastAsia="en-US"/>
                    </w:rPr>
                  </w:pPr>
                  <w:r>
                    <w:rPr>
                      <w:iCs/>
                      <w:lang w:eastAsia="en-US"/>
                    </w:rPr>
                    <w:t xml:space="preserve">Reading </w:t>
                  </w:r>
                </w:p>
              </w:tc>
              <w:tc>
                <w:tcPr>
                  <w:tcW w:w="1853" w:type="dxa"/>
                  <w:gridSpan w:val="2"/>
                </w:tcPr>
                <w:p w14:paraId="34C6CD35" w14:textId="1324065D" w:rsidR="003C135D" w:rsidRDefault="003C135D" w:rsidP="00407BAD">
                  <w:pPr>
                    <w:spacing w:after="0"/>
                    <w:rPr>
                      <w:iCs/>
                      <w:lang w:eastAsia="en-US"/>
                    </w:rPr>
                  </w:pPr>
                  <w:r>
                    <w:rPr>
                      <w:iCs/>
                      <w:lang w:eastAsia="en-US"/>
                    </w:rPr>
                    <w:t>Writing</w:t>
                  </w:r>
                </w:p>
              </w:tc>
              <w:tc>
                <w:tcPr>
                  <w:tcW w:w="1854" w:type="dxa"/>
                  <w:gridSpan w:val="2"/>
                </w:tcPr>
                <w:p w14:paraId="49BB32EF" w14:textId="1C79FBCF" w:rsidR="003C135D" w:rsidRDefault="003C135D" w:rsidP="00407BAD">
                  <w:pPr>
                    <w:spacing w:after="0"/>
                    <w:rPr>
                      <w:iCs/>
                      <w:lang w:eastAsia="en-US"/>
                    </w:rPr>
                  </w:pPr>
                  <w:r>
                    <w:rPr>
                      <w:iCs/>
                      <w:lang w:eastAsia="en-US"/>
                    </w:rPr>
                    <w:t>Maths</w:t>
                  </w:r>
                </w:p>
              </w:tc>
              <w:tc>
                <w:tcPr>
                  <w:tcW w:w="1854" w:type="dxa"/>
                  <w:gridSpan w:val="2"/>
                </w:tcPr>
                <w:p w14:paraId="2D9DDC02" w14:textId="3A2F8F93" w:rsidR="003C135D" w:rsidRDefault="003C135D" w:rsidP="00407BAD">
                  <w:pPr>
                    <w:spacing w:after="0"/>
                    <w:rPr>
                      <w:iCs/>
                      <w:lang w:eastAsia="en-US"/>
                    </w:rPr>
                  </w:pPr>
                  <w:r>
                    <w:rPr>
                      <w:iCs/>
                      <w:lang w:eastAsia="en-US"/>
                    </w:rPr>
                    <w:t>RWM</w:t>
                  </w:r>
                </w:p>
              </w:tc>
            </w:tr>
            <w:tr w:rsidR="003C135D" w14:paraId="09A8140B" w14:textId="77777777" w:rsidTr="003C135D">
              <w:tc>
                <w:tcPr>
                  <w:tcW w:w="1853" w:type="dxa"/>
                  <w:vMerge/>
                </w:tcPr>
                <w:p w14:paraId="421C153D" w14:textId="77777777" w:rsidR="003C135D" w:rsidRDefault="003C135D" w:rsidP="00407BAD">
                  <w:pPr>
                    <w:spacing w:after="0"/>
                    <w:rPr>
                      <w:iCs/>
                      <w:lang w:eastAsia="en-US"/>
                    </w:rPr>
                  </w:pPr>
                </w:p>
              </w:tc>
              <w:tc>
                <w:tcPr>
                  <w:tcW w:w="942" w:type="dxa"/>
                </w:tcPr>
                <w:p w14:paraId="4A678B38" w14:textId="31044C60" w:rsidR="003C135D" w:rsidRDefault="00405AA1" w:rsidP="00407BAD">
                  <w:pPr>
                    <w:spacing w:after="0"/>
                    <w:rPr>
                      <w:iCs/>
                      <w:lang w:eastAsia="en-US"/>
                    </w:rPr>
                  </w:pPr>
                  <w:r>
                    <w:rPr>
                      <w:iCs/>
                      <w:lang w:eastAsia="en-US"/>
                    </w:rPr>
                    <w:t>PP</w:t>
                  </w:r>
                </w:p>
              </w:tc>
              <w:tc>
                <w:tcPr>
                  <w:tcW w:w="911" w:type="dxa"/>
                </w:tcPr>
                <w:p w14:paraId="0154B6D1" w14:textId="197F4B65" w:rsidR="003C135D" w:rsidRDefault="00405AA1" w:rsidP="00407BAD">
                  <w:pPr>
                    <w:spacing w:after="0"/>
                    <w:rPr>
                      <w:iCs/>
                      <w:lang w:eastAsia="en-US"/>
                    </w:rPr>
                  </w:pPr>
                  <w:r>
                    <w:rPr>
                      <w:iCs/>
                      <w:lang w:eastAsia="en-US"/>
                    </w:rPr>
                    <w:t>Non- PP</w:t>
                  </w:r>
                </w:p>
              </w:tc>
              <w:tc>
                <w:tcPr>
                  <w:tcW w:w="978" w:type="dxa"/>
                </w:tcPr>
                <w:p w14:paraId="29F630BE" w14:textId="2353DFD0" w:rsidR="003C135D" w:rsidRDefault="00405AA1" w:rsidP="00407BAD">
                  <w:pPr>
                    <w:spacing w:after="0"/>
                    <w:rPr>
                      <w:iCs/>
                      <w:lang w:eastAsia="en-US"/>
                    </w:rPr>
                  </w:pPr>
                  <w:r>
                    <w:rPr>
                      <w:iCs/>
                      <w:lang w:eastAsia="en-US"/>
                    </w:rPr>
                    <w:t>PP</w:t>
                  </w:r>
                </w:p>
              </w:tc>
              <w:tc>
                <w:tcPr>
                  <w:tcW w:w="875" w:type="dxa"/>
                </w:tcPr>
                <w:p w14:paraId="64B8A112" w14:textId="4C0FE98B" w:rsidR="003C135D" w:rsidRDefault="00405AA1" w:rsidP="00407BAD">
                  <w:pPr>
                    <w:spacing w:after="0"/>
                    <w:rPr>
                      <w:iCs/>
                      <w:lang w:eastAsia="en-US"/>
                    </w:rPr>
                  </w:pPr>
                  <w:r>
                    <w:rPr>
                      <w:iCs/>
                      <w:lang w:eastAsia="en-US"/>
                    </w:rPr>
                    <w:t>Non- PP</w:t>
                  </w:r>
                </w:p>
              </w:tc>
              <w:tc>
                <w:tcPr>
                  <w:tcW w:w="818" w:type="dxa"/>
                </w:tcPr>
                <w:p w14:paraId="1A080FC9" w14:textId="12F5C4CC" w:rsidR="003C135D" w:rsidRDefault="00405AA1" w:rsidP="00407BAD">
                  <w:pPr>
                    <w:spacing w:after="0"/>
                    <w:rPr>
                      <w:iCs/>
                      <w:lang w:eastAsia="en-US"/>
                    </w:rPr>
                  </w:pPr>
                  <w:r>
                    <w:rPr>
                      <w:iCs/>
                      <w:lang w:eastAsia="en-US"/>
                    </w:rPr>
                    <w:t>PP</w:t>
                  </w:r>
                </w:p>
              </w:tc>
              <w:tc>
                <w:tcPr>
                  <w:tcW w:w="1036" w:type="dxa"/>
                </w:tcPr>
                <w:p w14:paraId="425264E4" w14:textId="78D6DCB8" w:rsidR="003C135D" w:rsidRDefault="00405AA1" w:rsidP="00407BAD">
                  <w:pPr>
                    <w:spacing w:after="0"/>
                    <w:rPr>
                      <w:iCs/>
                      <w:lang w:eastAsia="en-US"/>
                    </w:rPr>
                  </w:pPr>
                  <w:r>
                    <w:rPr>
                      <w:iCs/>
                      <w:lang w:eastAsia="en-US"/>
                    </w:rPr>
                    <w:t>Non- PP</w:t>
                  </w:r>
                </w:p>
              </w:tc>
              <w:tc>
                <w:tcPr>
                  <w:tcW w:w="960" w:type="dxa"/>
                </w:tcPr>
                <w:p w14:paraId="6DF5549E" w14:textId="45904A13" w:rsidR="003C135D" w:rsidRDefault="00A0729D" w:rsidP="00407BAD">
                  <w:pPr>
                    <w:spacing w:after="0"/>
                    <w:rPr>
                      <w:iCs/>
                      <w:lang w:eastAsia="en-US"/>
                    </w:rPr>
                  </w:pPr>
                  <w:r>
                    <w:rPr>
                      <w:iCs/>
                      <w:lang w:eastAsia="en-US"/>
                    </w:rPr>
                    <w:t>PP</w:t>
                  </w:r>
                </w:p>
              </w:tc>
              <w:tc>
                <w:tcPr>
                  <w:tcW w:w="894" w:type="dxa"/>
                </w:tcPr>
                <w:p w14:paraId="77BC30C6" w14:textId="4CDC47EC" w:rsidR="003C135D" w:rsidRDefault="00A0729D" w:rsidP="00407BAD">
                  <w:pPr>
                    <w:spacing w:after="0"/>
                    <w:rPr>
                      <w:iCs/>
                      <w:lang w:eastAsia="en-US"/>
                    </w:rPr>
                  </w:pPr>
                  <w:r>
                    <w:rPr>
                      <w:iCs/>
                      <w:lang w:eastAsia="en-US"/>
                    </w:rPr>
                    <w:t>Non-PP</w:t>
                  </w:r>
                </w:p>
              </w:tc>
            </w:tr>
            <w:tr w:rsidR="003C135D" w14:paraId="178347E5" w14:textId="4E8CF781" w:rsidTr="003C135D">
              <w:tc>
                <w:tcPr>
                  <w:tcW w:w="1853" w:type="dxa"/>
                </w:tcPr>
                <w:p w14:paraId="608C91A2" w14:textId="0563FD0A" w:rsidR="003C135D" w:rsidRDefault="003C135D" w:rsidP="00407BAD">
                  <w:pPr>
                    <w:spacing w:after="0"/>
                    <w:rPr>
                      <w:iCs/>
                      <w:lang w:eastAsia="en-US"/>
                    </w:rPr>
                  </w:pPr>
                  <w:r>
                    <w:rPr>
                      <w:iCs/>
                      <w:lang w:eastAsia="en-US"/>
                    </w:rPr>
                    <w:t>% of class GD</w:t>
                  </w:r>
                </w:p>
              </w:tc>
              <w:tc>
                <w:tcPr>
                  <w:tcW w:w="942" w:type="dxa"/>
                </w:tcPr>
                <w:p w14:paraId="0BBBE6CC" w14:textId="0AFA23C8" w:rsidR="003C135D" w:rsidRDefault="003C135D" w:rsidP="00407BAD">
                  <w:pPr>
                    <w:spacing w:after="0"/>
                    <w:rPr>
                      <w:iCs/>
                      <w:lang w:eastAsia="en-US"/>
                    </w:rPr>
                  </w:pPr>
                  <w:r>
                    <w:rPr>
                      <w:iCs/>
                      <w:lang w:eastAsia="en-US"/>
                    </w:rPr>
                    <w:t>0%</w:t>
                  </w:r>
                </w:p>
              </w:tc>
              <w:tc>
                <w:tcPr>
                  <w:tcW w:w="911" w:type="dxa"/>
                </w:tcPr>
                <w:p w14:paraId="5F9B693F" w14:textId="365F7551" w:rsidR="003C135D" w:rsidRDefault="003C135D" w:rsidP="00407BAD">
                  <w:pPr>
                    <w:spacing w:after="0"/>
                    <w:rPr>
                      <w:iCs/>
                      <w:lang w:eastAsia="en-US"/>
                    </w:rPr>
                  </w:pPr>
                  <w:r>
                    <w:rPr>
                      <w:iCs/>
                      <w:lang w:eastAsia="en-US"/>
                    </w:rPr>
                    <w:t>1</w:t>
                  </w:r>
                  <w:r w:rsidR="00FF24C8">
                    <w:rPr>
                      <w:iCs/>
                      <w:lang w:eastAsia="en-US"/>
                    </w:rPr>
                    <w:t>8</w:t>
                  </w:r>
                  <w:r>
                    <w:rPr>
                      <w:iCs/>
                      <w:lang w:eastAsia="en-US"/>
                    </w:rPr>
                    <w:t>%</w:t>
                  </w:r>
                  <w:r w:rsidR="00FF24C8">
                    <w:rPr>
                      <w:iCs/>
                      <w:lang w:eastAsia="en-US"/>
                    </w:rPr>
                    <w:t xml:space="preserve"> (2 out of 11)</w:t>
                  </w:r>
                </w:p>
              </w:tc>
              <w:tc>
                <w:tcPr>
                  <w:tcW w:w="978" w:type="dxa"/>
                </w:tcPr>
                <w:p w14:paraId="4291C5A6" w14:textId="2C9EF596" w:rsidR="003C135D" w:rsidRDefault="00C20E21" w:rsidP="00407BAD">
                  <w:pPr>
                    <w:spacing w:after="0"/>
                    <w:rPr>
                      <w:iCs/>
                      <w:lang w:eastAsia="en-US"/>
                    </w:rPr>
                  </w:pPr>
                  <w:r>
                    <w:rPr>
                      <w:iCs/>
                      <w:lang w:eastAsia="en-US"/>
                    </w:rPr>
                    <w:t>0%</w:t>
                  </w:r>
                </w:p>
              </w:tc>
              <w:tc>
                <w:tcPr>
                  <w:tcW w:w="875" w:type="dxa"/>
                </w:tcPr>
                <w:p w14:paraId="36992261" w14:textId="088C7049" w:rsidR="003C135D" w:rsidRDefault="00A0729D" w:rsidP="00407BAD">
                  <w:pPr>
                    <w:spacing w:after="0"/>
                    <w:rPr>
                      <w:iCs/>
                      <w:lang w:eastAsia="en-US"/>
                    </w:rPr>
                  </w:pPr>
                  <w:r>
                    <w:rPr>
                      <w:iCs/>
                      <w:lang w:eastAsia="en-US"/>
                    </w:rPr>
                    <w:t>0%</w:t>
                  </w:r>
                </w:p>
              </w:tc>
              <w:tc>
                <w:tcPr>
                  <w:tcW w:w="818" w:type="dxa"/>
                </w:tcPr>
                <w:p w14:paraId="6D584B37" w14:textId="521CBC58" w:rsidR="003C135D" w:rsidRDefault="00A0729D" w:rsidP="00407BAD">
                  <w:pPr>
                    <w:spacing w:after="0"/>
                    <w:rPr>
                      <w:iCs/>
                      <w:lang w:eastAsia="en-US"/>
                    </w:rPr>
                  </w:pPr>
                  <w:r>
                    <w:rPr>
                      <w:iCs/>
                      <w:lang w:eastAsia="en-US"/>
                    </w:rPr>
                    <w:t>0%</w:t>
                  </w:r>
                </w:p>
              </w:tc>
              <w:tc>
                <w:tcPr>
                  <w:tcW w:w="1036" w:type="dxa"/>
                </w:tcPr>
                <w:p w14:paraId="2B54FFC2" w14:textId="4DA50B67" w:rsidR="003C135D" w:rsidRDefault="00A0729D" w:rsidP="00407BAD">
                  <w:pPr>
                    <w:spacing w:after="0"/>
                    <w:rPr>
                      <w:iCs/>
                      <w:lang w:eastAsia="en-US"/>
                    </w:rPr>
                  </w:pPr>
                  <w:r>
                    <w:rPr>
                      <w:iCs/>
                      <w:lang w:eastAsia="en-US"/>
                    </w:rPr>
                    <w:t>1</w:t>
                  </w:r>
                  <w:r w:rsidR="00752A37">
                    <w:rPr>
                      <w:iCs/>
                      <w:lang w:eastAsia="en-US"/>
                    </w:rPr>
                    <w:t>8</w:t>
                  </w:r>
                  <w:r>
                    <w:rPr>
                      <w:iCs/>
                      <w:lang w:eastAsia="en-US"/>
                    </w:rPr>
                    <w:t>%</w:t>
                  </w:r>
                  <w:r w:rsidR="00FF24C8">
                    <w:rPr>
                      <w:iCs/>
                      <w:lang w:eastAsia="en-US"/>
                    </w:rPr>
                    <w:t xml:space="preserve"> (2 out of 1</w:t>
                  </w:r>
                  <w:r w:rsidR="00752A37">
                    <w:rPr>
                      <w:iCs/>
                      <w:lang w:eastAsia="en-US"/>
                    </w:rPr>
                    <w:t>1</w:t>
                  </w:r>
                  <w:r w:rsidR="00FF24C8">
                    <w:rPr>
                      <w:iCs/>
                      <w:lang w:eastAsia="en-US"/>
                    </w:rPr>
                    <w:t>)</w:t>
                  </w:r>
                </w:p>
              </w:tc>
              <w:tc>
                <w:tcPr>
                  <w:tcW w:w="960" w:type="dxa"/>
                </w:tcPr>
                <w:p w14:paraId="6F4A7BFB" w14:textId="1571DB9D" w:rsidR="003C135D" w:rsidRDefault="00A0729D" w:rsidP="00407BAD">
                  <w:pPr>
                    <w:spacing w:after="0"/>
                    <w:rPr>
                      <w:iCs/>
                      <w:lang w:eastAsia="en-US"/>
                    </w:rPr>
                  </w:pPr>
                  <w:r>
                    <w:rPr>
                      <w:iCs/>
                      <w:lang w:eastAsia="en-US"/>
                    </w:rPr>
                    <w:t>0%</w:t>
                  </w:r>
                </w:p>
              </w:tc>
              <w:tc>
                <w:tcPr>
                  <w:tcW w:w="894" w:type="dxa"/>
                </w:tcPr>
                <w:p w14:paraId="10FFFD30" w14:textId="226C7317" w:rsidR="003C135D" w:rsidRDefault="00A0729D" w:rsidP="00407BAD">
                  <w:pPr>
                    <w:spacing w:after="0"/>
                    <w:rPr>
                      <w:iCs/>
                      <w:lang w:eastAsia="en-US"/>
                    </w:rPr>
                  </w:pPr>
                  <w:r>
                    <w:rPr>
                      <w:iCs/>
                      <w:lang w:eastAsia="en-US"/>
                    </w:rPr>
                    <w:t>0%</w:t>
                  </w:r>
                </w:p>
              </w:tc>
            </w:tr>
            <w:tr w:rsidR="003C135D" w14:paraId="01228067" w14:textId="1E1B7453" w:rsidTr="003C135D">
              <w:tc>
                <w:tcPr>
                  <w:tcW w:w="1853" w:type="dxa"/>
                </w:tcPr>
                <w:p w14:paraId="149986D9" w14:textId="5F049C53" w:rsidR="003C135D" w:rsidRDefault="003C135D" w:rsidP="00407BAD">
                  <w:pPr>
                    <w:spacing w:after="0"/>
                    <w:rPr>
                      <w:iCs/>
                      <w:lang w:eastAsia="en-US"/>
                    </w:rPr>
                  </w:pPr>
                  <w:r>
                    <w:rPr>
                      <w:iCs/>
                      <w:lang w:eastAsia="en-US"/>
                    </w:rPr>
                    <w:t>% of class at ARE</w:t>
                  </w:r>
                </w:p>
              </w:tc>
              <w:tc>
                <w:tcPr>
                  <w:tcW w:w="942" w:type="dxa"/>
                </w:tcPr>
                <w:p w14:paraId="60D6F358" w14:textId="56A078CA" w:rsidR="003C135D" w:rsidRDefault="003C135D" w:rsidP="00407BAD">
                  <w:pPr>
                    <w:spacing w:after="0"/>
                    <w:rPr>
                      <w:iCs/>
                      <w:lang w:eastAsia="en-US"/>
                    </w:rPr>
                  </w:pPr>
                  <w:r>
                    <w:rPr>
                      <w:iCs/>
                      <w:lang w:eastAsia="en-US"/>
                    </w:rPr>
                    <w:t>5</w:t>
                  </w:r>
                  <w:r w:rsidR="00FF24C8">
                    <w:rPr>
                      <w:iCs/>
                      <w:lang w:eastAsia="en-US"/>
                    </w:rPr>
                    <w:t>0</w:t>
                  </w:r>
                  <w:r>
                    <w:rPr>
                      <w:iCs/>
                      <w:lang w:eastAsia="en-US"/>
                    </w:rPr>
                    <w:t>%</w:t>
                  </w:r>
                  <w:r w:rsidR="00FF24C8">
                    <w:rPr>
                      <w:iCs/>
                      <w:lang w:eastAsia="en-US"/>
                    </w:rPr>
                    <w:t xml:space="preserve"> (4 out of 8)</w:t>
                  </w:r>
                </w:p>
              </w:tc>
              <w:tc>
                <w:tcPr>
                  <w:tcW w:w="911" w:type="dxa"/>
                </w:tcPr>
                <w:p w14:paraId="697012C0" w14:textId="49A27C20" w:rsidR="003C135D" w:rsidRDefault="00FF24C8" w:rsidP="00407BAD">
                  <w:pPr>
                    <w:spacing w:after="0"/>
                    <w:rPr>
                      <w:iCs/>
                      <w:lang w:eastAsia="en-US"/>
                    </w:rPr>
                  </w:pPr>
                  <w:r>
                    <w:rPr>
                      <w:iCs/>
                      <w:lang w:eastAsia="en-US"/>
                    </w:rPr>
                    <w:t>64</w:t>
                  </w:r>
                  <w:r w:rsidR="003C135D">
                    <w:rPr>
                      <w:iCs/>
                      <w:lang w:eastAsia="en-US"/>
                    </w:rPr>
                    <w:t>%</w:t>
                  </w:r>
                  <w:r>
                    <w:rPr>
                      <w:iCs/>
                      <w:lang w:eastAsia="en-US"/>
                    </w:rPr>
                    <w:t xml:space="preserve"> (7 out of 11)</w:t>
                  </w:r>
                </w:p>
              </w:tc>
              <w:tc>
                <w:tcPr>
                  <w:tcW w:w="978" w:type="dxa"/>
                </w:tcPr>
                <w:p w14:paraId="31425FDF" w14:textId="497C60F4" w:rsidR="003C135D" w:rsidRDefault="00A0729D" w:rsidP="00407BAD">
                  <w:pPr>
                    <w:spacing w:after="0"/>
                    <w:rPr>
                      <w:iCs/>
                      <w:lang w:eastAsia="en-US"/>
                    </w:rPr>
                  </w:pPr>
                  <w:r>
                    <w:rPr>
                      <w:iCs/>
                      <w:lang w:eastAsia="en-US"/>
                    </w:rPr>
                    <w:t>5</w:t>
                  </w:r>
                  <w:r w:rsidR="00FF24C8">
                    <w:rPr>
                      <w:iCs/>
                      <w:lang w:eastAsia="en-US"/>
                    </w:rPr>
                    <w:t>0</w:t>
                  </w:r>
                  <w:r>
                    <w:rPr>
                      <w:iCs/>
                      <w:lang w:eastAsia="en-US"/>
                    </w:rPr>
                    <w:t>%</w:t>
                  </w:r>
                  <w:r w:rsidR="00FF24C8">
                    <w:rPr>
                      <w:iCs/>
                      <w:lang w:eastAsia="en-US"/>
                    </w:rPr>
                    <w:t xml:space="preserve"> (4 out of 8)</w:t>
                  </w:r>
                </w:p>
              </w:tc>
              <w:tc>
                <w:tcPr>
                  <w:tcW w:w="875" w:type="dxa"/>
                </w:tcPr>
                <w:p w14:paraId="7B8A79B4" w14:textId="4E9B5F24" w:rsidR="003C135D" w:rsidRDefault="00A0729D" w:rsidP="00407BAD">
                  <w:pPr>
                    <w:spacing w:after="0"/>
                    <w:rPr>
                      <w:iCs/>
                      <w:lang w:eastAsia="en-US"/>
                    </w:rPr>
                  </w:pPr>
                  <w:r>
                    <w:rPr>
                      <w:iCs/>
                      <w:lang w:eastAsia="en-US"/>
                    </w:rPr>
                    <w:t>5</w:t>
                  </w:r>
                  <w:r w:rsidR="00752A37">
                    <w:rPr>
                      <w:iCs/>
                      <w:lang w:eastAsia="en-US"/>
                    </w:rPr>
                    <w:t>5</w:t>
                  </w:r>
                  <w:r>
                    <w:rPr>
                      <w:iCs/>
                      <w:lang w:eastAsia="en-US"/>
                    </w:rPr>
                    <w:t>%</w:t>
                  </w:r>
                  <w:r w:rsidR="00FF24C8">
                    <w:rPr>
                      <w:iCs/>
                      <w:lang w:eastAsia="en-US"/>
                    </w:rPr>
                    <w:t xml:space="preserve"> (6 out of 11)</w:t>
                  </w:r>
                </w:p>
              </w:tc>
              <w:tc>
                <w:tcPr>
                  <w:tcW w:w="818" w:type="dxa"/>
                </w:tcPr>
                <w:p w14:paraId="5A64ACE0" w14:textId="6B518636" w:rsidR="003C135D" w:rsidRDefault="00A0729D" w:rsidP="00407BAD">
                  <w:pPr>
                    <w:spacing w:after="0"/>
                    <w:rPr>
                      <w:iCs/>
                      <w:lang w:eastAsia="en-US"/>
                    </w:rPr>
                  </w:pPr>
                  <w:r>
                    <w:rPr>
                      <w:iCs/>
                      <w:lang w:eastAsia="en-US"/>
                    </w:rPr>
                    <w:t>57%</w:t>
                  </w:r>
                  <w:r w:rsidR="00FF24C8">
                    <w:rPr>
                      <w:iCs/>
                      <w:lang w:eastAsia="en-US"/>
                    </w:rPr>
                    <w:t xml:space="preserve"> (4 out of </w:t>
                  </w:r>
                  <w:r w:rsidR="00F86856">
                    <w:rPr>
                      <w:iCs/>
                      <w:lang w:eastAsia="en-US"/>
                    </w:rPr>
                    <w:t>8</w:t>
                  </w:r>
                  <w:r w:rsidR="00FF24C8">
                    <w:rPr>
                      <w:iCs/>
                      <w:lang w:eastAsia="en-US"/>
                    </w:rPr>
                    <w:t>)</w:t>
                  </w:r>
                </w:p>
              </w:tc>
              <w:tc>
                <w:tcPr>
                  <w:tcW w:w="1036" w:type="dxa"/>
                </w:tcPr>
                <w:p w14:paraId="14853E8C" w14:textId="31D1125B" w:rsidR="003C135D" w:rsidRDefault="00752A37" w:rsidP="00407BAD">
                  <w:pPr>
                    <w:spacing w:after="0"/>
                    <w:rPr>
                      <w:iCs/>
                      <w:lang w:eastAsia="en-US"/>
                    </w:rPr>
                  </w:pPr>
                  <w:r>
                    <w:rPr>
                      <w:iCs/>
                      <w:lang w:eastAsia="en-US"/>
                    </w:rPr>
                    <w:t>91</w:t>
                  </w:r>
                  <w:r w:rsidR="00A0729D">
                    <w:rPr>
                      <w:iCs/>
                      <w:lang w:eastAsia="en-US"/>
                    </w:rPr>
                    <w:t>%</w:t>
                  </w:r>
                  <w:r w:rsidR="00FF24C8">
                    <w:rPr>
                      <w:iCs/>
                      <w:lang w:eastAsia="en-US"/>
                    </w:rPr>
                    <w:t xml:space="preserve"> (10 out of 1</w:t>
                  </w:r>
                  <w:r>
                    <w:rPr>
                      <w:iCs/>
                      <w:lang w:eastAsia="en-US"/>
                    </w:rPr>
                    <w:t>1</w:t>
                  </w:r>
                  <w:r w:rsidR="00FF24C8">
                    <w:rPr>
                      <w:iCs/>
                      <w:lang w:eastAsia="en-US"/>
                    </w:rPr>
                    <w:t>)</w:t>
                  </w:r>
                </w:p>
              </w:tc>
              <w:tc>
                <w:tcPr>
                  <w:tcW w:w="960" w:type="dxa"/>
                </w:tcPr>
                <w:p w14:paraId="6348F66C" w14:textId="29F83EE9" w:rsidR="003C135D" w:rsidRDefault="00A0729D" w:rsidP="00407BAD">
                  <w:pPr>
                    <w:spacing w:after="0"/>
                    <w:rPr>
                      <w:iCs/>
                      <w:lang w:eastAsia="en-US"/>
                    </w:rPr>
                  </w:pPr>
                  <w:r>
                    <w:rPr>
                      <w:iCs/>
                      <w:lang w:eastAsia="en-US"/>
                    </w:rPr>
                    <w:t>5</w:t>
                  </w:r>
                  <w:r w:rsidR="00752A37">
                    <w:rPr>
                      <w:iCs/>
                      <w:lang w:eastAsia="en-US"/>
                    </w:rPr>
                    <w:t>0</w:t>
                  </w:r>
                  <w:r>
                    <w:rPr>
                      <w:iCs/>
                      <w:lang w:eastAsia="en-US"/>
                    </w:rPr>
                    <w:t>%</w:t>
                  </w:r>
                  <w:r w:rsidR="00FF24C8">
                    <w:rPr>
                      <w:iCs/>
                      <w:lang w:eastAsia="en-US"/>
                    </w:rPr>
                    <w:t xml:space="preserve"> (4 out of </w:t>
                  </w:r>
                  <w:r w:rsidR="00752A37">
                    <w:rPr>
                      <w:iCs/>
                      <w:lang w:eastAsia="en-US"/>
                    </w:rPr>
                    <w:t>8</w:t>
                  </w:r>
                  <w:r w:rsidR="00FF24C8">
                    <w:rPr>
                      <w:iCs/>
                      <w:lang w:eastAsia="en-US"/>
                    </w:rPr>
                    <w:t>)</w:t>
                  </w:r>
                </w:p>
              </w:tc>
              <w:tc>
                <w:tcPr>
                  <w:tcW w:w="894" w:type="dxa"/>
                </w:tcPr>
                <w:p w14:paraId="1E4A59FD" w14:textId="11A31280" w:rsidR="003C135D" w:rsidRDefault="00A0729D" w:rsidP="00407BAD">
                  <w:pPr>
                    <w:spacing w:after="0"/>
                    <w:rPr>
                      <w:iCs/>
                      <w:lang w:eastAsia="en-US"/>
                    </w:rPr>
                  </w:pPr>
                  <w:r>
                    <w:rPr>
                      <w:iCs/>
                      <w:lang w:eastAsia="en-US"/>
                    </w:rPr>
                    <w:t>5</w:t>
                  </w:r>
                  <w:r w:rsidR="00752A37">
                    <w:rPr>
                      <w:iCs/>
                      <w:lang w:eastAsia="en-US"/>
                    </w:rPr>
                    <w:t>5</w:t>
                  </w:r>
                  <w:r>
                    <w:rPr>
                      <w:iCs/>
                      <w:lang w:eastAsia="en-US"/>
                    </w:rPr>
                    <w:t>%</w:t>
                  </w:r>
                  <w:r w:rsidR="00FF24C8">
                    <w:rPr>
                      <w:iCs/>
                      <w:lang w:eastAsia="en-US"/>
                    </w:rPr>
                    <w:t xml:space="preserve"> (6 out of 1</w:t>
                  </w:r>
                  <w:r w:rsidR="00752A37">
                    <w:rPr>
                      <w:iCs/>
                      <w:lang w:eastAsia="en-US"/>
                    </w:rPr>
                    <w:t>1</w:t>
                  </w:r>
                  <w:r w:rsidR="00FF24C8">
                    <w:rPr>
                      <w:iCs/>
                      <w:lang w:eastAsia="en-US"/>
                    </w:rPr>
                    <w:t>)</w:t>
                  </w:r>
                </w:p>
              </w:tc>
            </w:tr>
            <w:tr w:rsidR="003C135D" w14:paraId="28AE278E" w14:textId="4F068922" w:rsidTr="003C135D">
              <w:tc>
                <w:tcPr>
                  <w:tcW w:w="1853" w:type="dxa"/>
                </w:tcPr>
                <w:p w14:paraId="2269CB79" w14:textId="3061BC56" w:rsidR="003C135D" w:rsidRDefault="003C135D" w:rsidP="00407BAD">
                  <w:pPr>
                    <w:spacing w:after="0"/>
                    <w:rPr>
                      <w:iCs/>
                      <w:lang w:eastAsia="en-US"/>
                    </w:rPr>
                  </w:pPr>
                  <w:r>
                    <w:rPr>
                      <w:iCs/>
                      <w:lang w:eastAsia="en-US"/>
                    </w:rPr>
                    <w:t>% of class below ARE</w:t>
                  </w:r>
                </w:p>
              </w:tc>
              <w:tc>
                <w:tcPr>
                  <w:tcW w:w="942" w:type="dxa"/>
                </w:tcPr>
                <w:p w14:paraId="4FAFAC09" w14:textId="3709D6EC" w:rsidR="003C135D" w:rsidRDefault="00FF24C8" w:rsidP="00407BAD">
                  <w:pPr>
                    <w:spacing w:after="0"/>
                    <w:rPr>
                      <w:iCs/>
                      <w:lang w:eastAsia="en-US"/>
                    </w:rPr>
                  </w:pPr>
                  <w:r>
                    <w:rPr>
                      <w:iCs/>
                      <w:lang w:eastAsia="en-US"/>
                    </w:rPr>
                    <w:t>50</w:t>
                  </w:r>
                  <w:r w:rsidR="00405AA1">
                    <w:rPr>
                      <w:iCs/>
                      <w:lang w:eastAsia="en-US"/>
                    </w:rPr>
                    <w:t>%</w:t>
                  </w:r>
                </w:p>
              </w:tc>
              <w:tc>
                <w:tcPr>
                  <w:tcW w:w="911" w:type="dxa"/>
                </w:tcPr>
                <w:p w14:paraId="675D8D9A" w14:textId="6F2AD032" w:rsidR="003C135D" w:rsidRDefault="00FF24C8" w:rsidP="00407BAD">
                  <w:pPr>
                    <w:spacing w:after="0"/>
                    <w:rPr>
                      <w:iCs/>
                      <w:lang w:eastAsia="en-US"/>
                    </w:rPr>
                  </w:pPr>
                  <w:r>
                    <w:rPr>
                      <w:iCs/>
                      <w:lang w:eastAsia="en-US"/>
                    </w:rPr>
                    <w:t>36</w:t>
                  </w:r>
                  <w:r w:rsidR="00405AA1">
                    <w:rPr>
                      <w:iCs/>
                      <w:lang w:eastAsia="en-US"/>
                    </w:rPr>
                    <w:t>%</w:t>
                  </w:r>
                </w:p>
              </w:tc>
              <w:tc>
                <w:tcPr>
                  <w:tcW w:w="978" w:type="dxa"/>
                </w:tcPr>
                <w:p w14:paraId="2167AF43" w14:textId="4EA43F83" w:rsidR="003C135D" w:rsidRDefault="00FF24C8" w:rsidP="00407BAD">
                  <w:pPr>
                    <w:spacing w:after="0"/>
                    <w:rPr>
                      <w:iCs/>
                      <w:lang w:eastAsia="en-US"/>
                    </w:rPr>
                  </w:pPr>
                  <w:r>
                    <w:rPr>
                      <w:iCs/>
                      <w:lang w:eastAsia="en-US"/>
                    </w:rPr>
                    <w:t>50</w:t>
                  </w:r>
                  <w:r w:rsidR="00A0729D">
                    <w:rPr>
                      <w:iCs/>
                      <w:lang w:eastAsia="en-US"/>
                    </w:rPr>
                    <w:t>%</w:t>
                  </w:r>
                </w:p>
              </w:tc>
              <w:tc>
                <w:tcPr>
                  <w:tcW w:w="875" w:type="dxa"/>
                </w:tcPr>
                <w:p w14:paraId="5BE22F5A" w14:textId="4F066868" w:rsidR="003C135D" w:rsidRDefault="00752A37" w:rsidP="00407BAD">
                  <w:pPr>
                    <w:spacing w:after="0"/>
                    <w:rPr>
                      <w:iCs/>
                      <w:lang w:eastAsia="en-US"/>
                    </w:rPr>
                  </w:pPr>
                  <w:r>
                    <w:rPr>
                      <w:iCs/>
                      <w:lang w:eastAsia="en-US"/>
                    </w:rPr>
                    <w:t>45</w:t>
                  </w:r>
                  <w:r w:rsidR="00A0729D">
                    <w:rPr>
                      <w:iCs/>
                      <w:lang w:eastAsia="en-US"/>
                    </w:rPr>
                    <w:t>%</w:t>
                  </w:r>
                </w:p>
              </w:tc>
              <w:tc>
                <w:tcPr>
                  <w:tcW w:w="818" w:type="dxa"/>
                </w:tcPr>
                <w:p w14:paraId="21BB5696" w14:textId="6BB47D2B" w:rsidR="003C135D" w:rsidRDefault="00A0729D" w:rsidP="00407BAD">
                  <w:pPr>
                    <w:spacing w:after="0"/>
                    <w:rPr>
                      <w:iCs/>
                      <w:lang w:eastAsia="en-US"/>
                    </w:rPr>
                  </w:pPr>
                  <w:r>
                    <w:rPr>
                      <w:iCs/>
                      <w:lang w:eastAsia="en-US"/>
                    </w:rPr>
                    <w:t>43%</w:t>
                  </w:r>
                </w:p>
              </w:tc>
              <w:tc>
                <w:tcPr>
                  <w:tcW w:w="1036" w:type="dxa"/>
                </w:tcPr>
                <w:p w14:paraId="02204A7B" w14:textId="16807C31" w:rsidR="003C135D" w:rsidRDefault="00752A37" w:rsidP="00407BAD">
                  <w:pPr>
                    <w:spacing w:after="0"/>
                    <w:rPr>
                      <w:iCs/>
                      <w:lang w:eastAsia="en-US"/>
                    </w:rPr>
                  </w:pPr>
                  <w:r>
                    <w:rPr>
                      <w:iCs/>
                      <w:lang w:eastAsia="en-US"/>
                    </w:rPr>
                    <w:t>9</w:t>
                  </w:r>
                  <w:r w:rsidR="00A0729D">
                    <w:rPr>
                      <w:iCs/>
                      <w:lang w:eastAsia="en-US"/>
                    </w:rPr>
                    <w:t>%</w:t>
                  </w:r>
                </w:p>
              </w:tc>
              <w:tc>
                <w:tcPr>
                  <w:tcW w:w="960" w:type="dxa"/>
                </w:tcPr>
                <w:p w14:paraId="2AF589A4" w14:textId="2C58EDF5" w:rsidR="003C135D" w:rsidRDefault="00752A37" w:rsidP="00407BAD">
                  <w:pPr>
                    <w:spacing w:after="0"/>
                    <w:rPr>
                      <w:iCs/>
                      <w:lang w:eastAsia="en-US"/>
                    </w:rPr>
                  </w:pPr>
                  <w:r>
                    <w:rPr>
                      <w:iCs/>
                      <w:lang w:eastAsia="en-US"/>
                    </w:rPr>
                    <w:t>50</w:t>
                  </w:r>
                  <w:r w:rsidR="00A0729D">
                    <w:rPr>
                      <w:iCs/>
                      <w:lang w:eastAsia="en-US"/>
                    </w:rPr>
                    <w:t>%</w:t>
                  </w:r>
                </w:p>
              </w:tc>
              <w:tc>
                <w:tcPr>
                  <w:tcW w:w="894" w:type="dxa"/>
                </w:tcPr>
                <w:p w14:paraId="48C7BCE3" w14:textId="6B4FADF8" w:rsidR="003C135D" w:rsidRDefault="00752A37" w:rsidP="00407BAD">
                  <w:pPr>
                    <w:spacing w:after="0"/>
                    <w:rPr>
                      <w:iCs/>
                      <w:lang w:eastAsia="en-US"/>
                    </w:rPr>
                  </w:pPr>
                  <w:r>
                    <w:rPr>
                      <w:iCs/>
                      <w:lang w:eastAsia="en-US"/>
                    </w:rPr>
                    <w:t>45</w:t>
                  </w:r>
                  <w:r w:rsidR="00A0729D">
                    <w:rPr>
                      <w:iCs/>
                      <w:lang w:eastAsia="en-US"/>
                    </w:rPr>
                    <w:t>%</w:t>
                  </w:r>
                </w:p>
              </w:tc>
            </w:tr>
            <w:bookmarkEnd w:id="17"/>
          </w:tbl>
          <w:p w14:paraId="3F59283F" w14:textId="77777777" w:rsidR="00A0729D" w:rsidRDefault="00A0729D" w:rsidP="00407BAD">
            <w:pPr>
              <w:spacing w:after="0"/>
              <w:rPr>
                <w:iCs/>
                <w:lang w:eastAsia="en-US"/>
              </w:rPr>
            </w:pPr>
          </w:p>
          <w:p w14:paraId="47BCBE5B" w14:textId="2809BF59" w:rsidR="003C135D" w:rsidRDefault="00A0729D" w:rsidP="00407BAD">
            <w:pPr>
              <w:spacing w:after="0"/>
              <w:rPr>
                <w:iCs/>
                <w:lang w:eastAsia="en-US"/>
              </w:rPr>
            </w:pPr>
            <w:r>
              <w:rPr>
                <w:iCs/>
                <w:lang w:eastAsia="en-US"/>
              </w:rPr>
              <w:t xml:space="preserve">PP Reading and writing </w:t>
            </w:r>
            <w:r w:rsidR="00752A37">
              <w:rPr>
                <w:iCs/>
                <w:lang w:eastAsia="en-US"/>
              </w:rPr>
              <w:t>is stronger.</w:t>
            </w:r>
            <w:r>
              <w:rPr>
                <w:iCs/>
                <w:lang w:eastAsia="en-US"/>
              </w:rPr>
              <w:t xml:space="preserve"> We need to continue to try and close the gap in maths through interventions and teaching assistant support.</w:t>
            </w:r>
          </w:p>
          <w:p w14:paraId="18FE93C6" w14:textId="7977CF9E" w:rsidR="00752A37" w:rsidRDefault="00752A37" w:rsidP="00407BAD">
            <w:pPr>
              <w:spacing w:after="0"/>
              <w:rPr>
                <w:iCs/>
                <w:lang w:eastAsia="en-US"/>
              </w:rPr>
            </w:pPr>
          </w:p>
          <w:p w14:paraId="0464E58D" w14:textId="37CCE33D" w:rsidR="00752A37" w:rsidRDefault="00752A37" w:rsidP="00407BAD">
            <w:pPr>
              <w:spacing w:after="0"/>
              <w:rPr>
                <w:iCs/>
                <w:lang w:eastAsia="en-US"/>
              </w:rPr>
            </w:pPr>
            <w:r>
              <w:rPr>
                <w:iCs/>
                <w:lang w:eastAsia="en-US"/>
              </w:rPr>
              <w:t>KS1 writing and maths ARE outcomes were above LA.</w:t>
            </w:r>
          </w:p>
          <w:p w14:paraId="29641422" w14:textId="7F6512E5" w:rsidR="00A0729D" w:rsidRPr="0033486C" w:rsidRDefault="00A0729D" w:rsidP="00407BAD">
            <w:pPr>
              <w:spacing w:after="0"/>
              <w:rPr>
                <w:iCs/>
                <w:u w:val="single"/>
                <w:lang w:eastAsia="en-US"/>
              </w:rPr>
            </w:pPr>
          </w:p>
          <w:p w14:paraId="6392E462" w14:textId="0AC25068" w:rsidR="00A0729D" w:rsidRDefault="0033486C" w:rsidP="00407BAD">
            <w:pPr>
              <w:spacing w:after="0"/>
              <w:rPr>
                <w:iCs/>
                <w:u w:val="single"/>
                <w:lang w:eastAsia="en-US"/>
              </w:rPr>
            </w:pPr>
            <w:r w:rsidRPr="0033486C">
              <w:rPr>
                <w:iCs/>
                <w:u w:val="single"/>
                <w:lang w:eastAsia="en-US"/>
              </w:rPr>
              <w:t>Year 4 Multiplication Tables Check</w:t>
            </w:r>
          </w:p>
          <w:tbl>
            <w:tblPr>
              <w:tblStyle w:val="TableGrid"/>
              <w:tblW w:w="0" w:type="auto"/>
              <w:tblLook w:val="04A0" w:firstRow="1" w:lastRow="0" w:firstColumn="1" w:lastColumn="0" w:noHBand="0" w:noVBand="1"/>
            </w:tblPr>
            <w:tblGrid>
              <w:gridCol w:w="3089"/>
              <w:gridCol w:w="3089"/>
              <w:gridCol w:w="3089"/>
            </w:tblGrid>
            <w:tr w:rsidR="004D6A61" w14:paraId="5E45AC47" w14:textId="77777777" w:rsidTr="004D6A61">
              <w:tc>
                <w:tcPr>
                  <w:tcW w:w="3089" w:type="dxa"/>
                </w:tcPr>
                <w:p w14:paraId="74C35CEE" w14:textId="313EAA15" w:rsidR="004D6A61" w:rsidRDefault="004D6A61" w:rsidP="00407BAD">
                  <w:pPr>
                    <w:spacing w:after="0"/>
                    <w:rPr>
                      <w:iCs/>
                      <w:lang w:eastAsia="en-US"/>
                    </w:rPr>
                  </w:pPr>
                  <w:r>
                    <w:rPr>
                      <w:iCs/>
                      <w:lang w:eastAsia="en-US"/>
                    </w:rPr>
                    <w:t>Year 4- 27 children (15 PP)</w:t>
                  </w:r>
                </w:p>
              </w:tc>
              <w:tc>
                <w:tcPr>
                  <w:tcW w:w="3089" w:type="dxa"/>
                </w:tcPr>
                <w:p w14:paraId="05D10FC6" w14:textId="498C9AD6" w:rsidR="004D6A61" w:rsidRDefault="004D6A61" w:rsidP="00407BAD">
                  <w:pPr>
                    <w:spacing w:after="0"/>
                    <w:rPr>
                      <w:iCs/>
                      <w:lang w:eastAsia="en-US"/>
                    </w:rPr>
                  </w:pPr>
                  <w:r>
                    <w:rPr>
                      <w:iCs/>
                      <w:lang w:eastAsia="en-US"/>
                    </w:rPr>
                    <w:t>PP</w:t>
                  </w:r>
                </w:p>
              </w:tc>
              <w:tc>
                <w:tcPr>
                  <w:tcW w:w="3089" w:type="dxa"/>
                </w:tcPr>
                <w:p w14:paraId="4056D567" w14:textId="566EE847" w:rsidR="004D6A61" w:rsidRDefault="004D6A61" w:rsidP="00407BAD">
                  <w:pPr>
                    <w:spacing w:after="0"/>
                    <w:rPr>
                      <w:iCs/>
                      <w:lang w:eastAsia="en-US"/>
                    </w:rPr>
                  </w:pPr>
                  <w:r>
                    <w:rPr>
                      <w:iCs/>
                      <w:lang w:eastAsia="en-US"/>
                    </w:rPr>
                    <w:t>Non- PP</w:t>
                  </w:r>
                </w:p>
              </w:tc>
            </w:tr>
            <w:tr w:rsidR="004D6A61" w14:paraId="6AEB938B" w14:textId="77777777" w:rsidTr="004D6A61">
              <w:tc>
                <w:tcPr>
                  <w:tcW w:w="3089" w:type="dxa"/>
                </w:tcPr>
                <w:p w14:paraId="31EF1428" w14:textId="471CA563" w:rsidR="004D6A61" w:rsidRDefault="004D6A61" w:rsidP="00407BAD">
                  <w:pPr>
                    <w:spacing w:after="0"/>
                    <w:rPr>
                      <w:iCs/>
                      <w:lang w:eastAsia="en-US"/>
                    </w:rPr>
                  </w:pPr>
                  <w:r>
                    <w:rPr>
                      <w:iCs/>
                      <w:lang w:eastAsia="en-US"/>
                    </w:rPr>
                    <w:t>2</w:t>
                  </w:r>
                  <w:r w:rsidR="00735678">
                    <w:rPr>
                      <w:iCs/>
                      <w:lang w:eastAsia="en-US"/>
                    </w:rPr>
                    <w:t>0</w:t>
                  </w:r>
                  <w:r>
                    <w:rPr>
                      <w:iCs/>
                      <w:lang w:eastAsia="en-US"/>
                    </w:rPr>
                    <w:t>-25 marks</w:t>
                  </w:r>
                </w:p>
              </w:tc>
              <w:tc>
                <w:tcPr>
                  <w:tcW w:w="3089" w:type="dxa"/>
                </w:tcPr>
                <w:p w14:paraId="3BE51FBE" w14:textId="53C67AA0" w:rsidR="004D6A61" w:rsidRDefault="00735678" w:rsidP="00407BAD">
                  <w:pPr>
                    <w:spacing w:after="0"/>
                    <w:rPr>
                      <w:iCs/>
                      <w:lang w:eastAsia="en-US"/>
                    </w:rPr>
                  </w:pPr>
                  <w:r>
                    <w:rPr>
                      <w:iCs/>
                      <w:lang w:eastAsia="en-US"/>
                    </w:rPr>
                    <w:t>67% (10 out of 15 children)</w:t>
                  </w:r>
                </w:p>
              </w:tc>
              <w:tc>
                <w:tcPr>
                  <w:tcW w:w="3089" w:type="dxa"/>
                </w:tcPr>
                <w:p w14:paraId="5FFF945D" w14:textId="43A65F73" w:rsidR="004D6A61" w:rsidRDefault="00735678" w:rsidP="00407BAD">
                  <w:pPr>
                    <w:spacing w:after="0"/>
                    <w:rPr>
                      <w:iCs/>
                      <w:lang w:eastAsia="en-US"/>
                    </w:rPr>
                  </w:pPr>
                  <w:r>
                    <w:rPr>
                      <w:iCs/>
                      <w:lang w:eastAsia="en-US"/>
                    </w:rPr>
                    <w:t>75% (9 out of 12 children)</w:t>
                  </w:r>
                </w:p>
              </w:tc>
            </w:tr>
          </w:tbl>
          <w:p w14:paraId="738D68B1" w14:textId="165E92BC" w:rsidR="00C00588" w:rsidRDefault="00735678" w:rsidP="00407BAD">
            <w:pPr>
              <w:spacing w:after="0"/>
              <w:rPr>
                <w:iCs/>
                <w:lang w:eastAsia="en-US"/>
              </w:rPr>
            </w:pPr>
            <w:r>
              <w:rPr>
                <w:iCs/>
                <w:lang w:eastAsia="en-US"/>
              </w:rPr>
              <w:t>Non-PP slightly outperformed PP children.  We will continue to focus on rapid recall interventions this year.</w:t>
            </w:r>
          </w:p>
          <w:p w14:paraId="19342C85" w14:textId="019C9A80" w:rsidR="00735678" w:rsidRDefault="00735678" w:rsidP="00407BAD">
            <w:pPr>
              <w:spacing w:after="0"/>
              <w:rPr>
                <w:iCs/>
                <w:lang w:eastAsia="en-US"/>
              </w:rPr>
            </w:pPr>
          </w:p>
          <w:p w14:paraId="6FDFCC1B" w14:textId="0D54803D" w:rsidR="00735678" w:rsidRDefault="00735678" w:rsidP="00407BAD">
            <w:pPr>
              <w:spacing w:after="0"/>
              <w:rPr>
                <w:iCs/>
                <w:u w:val="single"/>
                <w:lang w:eastAsia="en-US"/>
              </w:rPr>
            </w:pPr>
            <w:r w:rsidRPr="00735678">
              <w:rPr>
                <w:iCs/>
                <w:u w:val="single"/>
                <w:lang w:eastAsia="en-US"/>
              </w:rPr>
              <w:t>End of KS2 Outcomes- PP compared to Non-PP</w:t>
            </w:r>
          </w:p>
          <w:tbl>
            <w:tblPr>
              <w:tblStyle w:val="TableGrid"/>
              <w:tblW w:w="0" w:type="auto"/>
              <w:tblLook w:val="04A0" w:firstRow="1" w:lastRow="0" w:firstColumn="1" w:lastColumn="0" w:noHBand="0" w:noVBand="1"/>
            </w:tblPr>
            <w:tblGrid>
              <w:gridCol w:w="1853"/>
              <w:gridCol w:w="942"/>
              <w:gridCol w:w="911"/>
              <w:gridCol w:w="978"/>
              <w:gridCol w:w="875"/>
              <w:gridCol w:w="818"/>
              <w:gridCol w:w="1036"/>
              <w:gridCol w:w="960"/>
              <w:gridCol w:w="894"/>
            </w:tblGrid>
            <w:tr w:rsidR="00735678" w14:paraId="7A5FA4C3" w14:textId="77777777" w:rsidTr="009C21E6">
              <w:tc>
                <w:tcPr>
                  <w:tcW w:w="1853" w:type="dxa"/>
                  <w:vMerge w:val="restart"/>
                </w:tcPr>
                <w:p w14:paraId="62818A92" w14:textId="25D756D0" w:rsidR="00735678" w:rsidRDefault="00735678" w:rsidP="00735678">
                  <w:pPr>
                    <w:spacing w:after="0"/>
                    <w:rPr>
                      <w:iCs/>
                      <w:lang w:eastAsia="en-US"/>
                    </w:rPr>
                  </w:pPr>
                  <w:r>
                    <w:rPr>
                      <w:iCs/>
                      <w:lang w:eastAsia="en-US"/>
                    </w:rPr>
                    <w:t>Year 6 19 children (</w:t>
                  </w:r>
                  <w:r w:rsidR="00752A37">
                    <w:rPr>
                      <w:iCs/>
                      <w:lang w:eastAsia="en-US"/>
                    </w:rPr>
                    <w:t>8</w:t>
                  </w:r>
                  <w:r>
                    <w:rPr>
                      <w:iCs/>
                      <w:lang w:eastAsia="en-US"/>
                    </w:rPr>
                    <w:t xml:space="preserve"> PP)</w:t>
                  </w:r>
                </w:p>
              </w:tc>
              <w:tc>
                <w:tcPr>
                  <w:tcW w:w="1853" w:type="dxa"/>
                  <w:gridSpan w:val="2"/>
                </w:tcPr>
                <w:p w14:paraId="1EADF8FB" w14:textId="77777777" w:rsidR="00735678" w:rsidRDefault="00735678" w:rsidP="00735678">
                  <w:pPr>
                    <w:spacing w:after="0"/>
                    <w:rPr>
                      <w:iCs/>
                      <w:lang w:eastAsia="en-US"/>
                    </w:rPr>
                  </w:pPr>
                  <w:r>
                    <w:rPr>
                      <w:iCs/>
                      <w:lang w:eastAsia="en-US"/>
                    </w:rPr>
                    <w:t xml:space="preserve">Reading </w:t>
                  </w:r>
                </w:p>
              </w:tc>
              <w:tc>
                <w:tcPr>
                  <w:tcW w:w="1853" w:type="dxa"/>
                  <w:gridSpan w:val="2"/>
                </w:tcPr>
                <w:p w14:paraId="133564EA" w14:textId="77777777" w:rsidR="00735678" w:rsidRDefault="00735678" w:rsidP="00735678">
                  <w:pPr>
                    <w:spacing w:after="0"/>
                    <w:rPr>
                      <w:iCs/>
                      <w:lang w:eastAsia="en-US"/>
                    </w:rPr>
                  </w:pPr>
                  <w:r>
                    <w:rPr>
                      <w:iCs/>
                      <w:lang w:eastAsia="en-US"/>
                    </w:rPr>
                    <w:t>Writing</w:t>
                  </w:r>
                </w:p>
              </w:tc>
              <w:tc>
                <w:tcPr>
                  <w:tcW w:w="1854" w:type="dxa"/>
                  <w:gridSpan w:val="2"/>
                </w:tcPr>
                <w:p w14:paraId="026D3389" w14:textId="77777777" w:rsidR="00735678" w:rsidRDefault="00735678" w:rsidP="00735678">
                  <w:pPr>
                    <w:spacing w:after="0"/>
                    <w:rPr>
                      <w:iCs/>
                      <w:lang w:eastAsia="en-US"/>
                    </w:rPr>
                  </w:pPr>
                  <w:r>
                    <w:rPr>
                      <w:iCs/>
                      <w:lang w:eastAsia="en-US"/>
                    </w:rPr>
                    <w:t>Maths</w:t>
                  </w:r>
                </w:p>
              </w:tc>
              <w:tc>
                <w:tcPr>
                  <w:tcW w:w="1854" w:type="dxa"/>
                  <w:gridSpan w:val="2"/>
                </w:tcPr>
                <w:p w14:paraId="325ED009" w14:textId="77777777" w:rsidR="00735678" w:rsidRDefault="00735678" w:rsidP="00735678">
                  <w:pPr>
                    <w:spacing w:after="0"/>
                    <w:rPr>
                      <w:iCs/>
                      <w:lang w:eastAsia="en-US"/>
                    </w:rPr>
                  </w:pPr>
                  <w:r>
                    <w:rPr>
                      <w:iCs/>
                      <w:lang w:eastAsia="en-US"/>
                    </w:rPr>
                    <w:t>RWM</w:t>
                  </w:r>
                </w:p>
              </w:tc>
            </w:tr>
            <w:tr w:rsidR="005D5629" w14:paraId="4D184BC9" w14:textId="77777777" w:rsidTr="009C21E6">
              <w:tc>
                <w:tcPr>
                  <w:tcW w:w="1853" w:type="dxa"/>
                  <w:vMerge/>
                </w:tcPr>
                <w:p w14:paraId="4240C639" w14:textId="77777777" w:rsidR="00735678" w:rsidRDefault="00735678" w:rsidP="00735678">
                  <w:pPr>
                    <w:spacing w:after="0"/>
                    <w:rPr>
                      <w:iCs/>
                      <w:lang w:eastAsia="en-US"/>
                    </w:rPr>
                  </w:pPr>
                </w:p>
              </w:tc>
              <w:tc>
                <w:tcPr>
                  <w:tcW w:w="942" w:type="dxa"/>
                </w:tcPr>
                <w:p w14:paraId="4A015C70" w14:textId="77777777" w:rsidR="00735678" w:rsidRDefault="00735678" w:rsidP="00735678">
                  <w:pPr>
                    <w:spacing w:after="0"/>
                    <w:rPr>
                      <w:iCs/>
                      <w:lang w:eastAsia="en-US"/>
                    </w:rPr>
                  </w:pPr>
                  <w:r>
                    <w:rPr>
                      <w:iCs/>
                      <w:lang w:eastAsia="en-US"/>
                    </w:rPr>
                    <w:t>PP</w:t>
                  </w:r>
                </w:p>
              </w:tc>
              <w:tc>
                <w:tcPr>
                  <w:tcW w:w="911" w:type="dxa"/>
                </w:tcPr>
                <w:p w14:paraId="31440576" w14:textId="77777777" w:rsidR="00735678" w:rsidRDefault="00735678" w:rsidP="00735678">
                  <w:pPr>
                    <w:spacing w:after="0"/>
                    <w:rPr>
                      <w:iCs/>
                      <w:lang w:eastAsia="en-US"/>
                    </w:rPr>
                  </w:pPr>
                  <w:r>
                    <w:rPr>
                      <w:iCs/>
                      <w:lang w:eastAsia="en-US"/>
                    </w:rPr>
                    <w:t>Non- PP</w:t>
                  </w:r>
                </w:p>
              </w:tc>
              <w:tc>
                <w:tcPr>
                  <w:tcW w:w="978" w:type="dxa"/>
                </w:tcPr>
                <w:p w14:paraId="1992525E" w14:textId="77777777" w:rsidR="00735678" w:rsidRDefault="00735678" w:rsidP="00735678">
                  <w:pPr>
                    <w:spacing w:after="0"/>
                    <w:rPr>
                      <w:iCs/>
                      <w:lang w:eastAsia="en-US"/>
                    </w:rPr>
                  </w:pPr>
                  <w:r>
                    <w:rPr>
                      <w:iCs/>
                      <w:lang w:eastAsia="en-US"/>
                    </w:rPr>
                    <w:t>PP</w:t>
                  </w:r>
                </w:p>
              </w:tc>
              <w:tc>
                <w:tcPr>
                  <w:tcW w:w="875" w:type="dxa"/>
                </w:tcPr>
                <w:p w14:paraId="1D6E931A" w14:textId="77777777" w:rsidR="00735678" w:rsidRDefault="00735678" w:rsidP="00735678">
                  <w:pPr>
                    <w:spacing w:after="0"/>
                    <w:rPr>
                      <w:iCs/>
                      <w:lang w:eastAsia="en-US"/>
                    </w:rPr>
                  </w:pPr>
                  <w:r>
                    <w:rPr>
                      <w:iCs/>
                      <w:lang w:eastAsia="en-US"/>
                    </w:rPr>
                    <w:t>Non- PP</w:t>
                  </w:r>
                </w:p>
              </w:tc>
              <w:tc>
                <w:tcPr>
                  <w:tcW w:w="818" w:type="dxa"/>
                </w:tcPr>
                <w:p w14:paraId="360E13B4" w14:textId="77777777" w:rsidR="00735678" w:rsidRDefault="00735678" w:rsidP="00735678">
                  <w:pPr>
                    <w:spacing w:after="0"/>
                    <w:rPr>
                      <w:iCs/>
                      <w:lang w:eastAsia="en-US"/>
                    </w:rPr>
                  </w:pPr>
                  <w:r>
                    <w:rPr>
                      <w:iCs/>
                      <w:lang w:eastAsia="en-US"/>
                    </w:rPr>
                    <w:t>PP</w:t>
                  </w:r>
                </w:p>
              </w:tc>
              <w:tc>
                <w:tcPr>
                  <w:tcW w:w="1036" w:type="dxa"/>
                </w:tcPr>
                <w:p w14:paraId="5516B043" w14:textId="77777777" w:rsidR="00735678" w:rsidRDefault="00735678" w:rsidP="00735678">
                  <w:pPr>
                    <w:spacing w:after="0"/>
                    <w:rPr>
                      <w:iCs/>
                      <w:lang w:eastAsia="en-US"/>
                    </w:rPr>
                  </w:pPr>
                  <w:r>
                    <w:rPr>
                      <w:iCs/>
                      <w:lang w:eastAsia="en-US"/>
                    </w:rPr>
                    <w:t>Non- PP</w:t>
                  </w:r>
                </w:p>
              </w:tc>
              <w:tc>
                <w:tcPr>
                  <w:tcW w:w="960" w:type="dxa"/>
                </w:tcPr>
                <w:p w14:paraId="6274EC4E" w14:textId="77777777" w:rsidR="00735678" w:rsidRDefault="00735678" w:rsidP="00735678">
                  <w:pPr>
                    <w:spacing w:after="0"/>
                    <w:rPr>
                      <w:iCs/>
                      <w:lang w:eastAsia="en-US"/>
                    </w:rPr>
                  </w:pPr>
                  <w:r>
                    <w:rPr>
                      <w:iCs/>
                      <w:lang w:eastAsia="en-US"/>
                    </w:rPr>
                    <w:t>PP</w:t>
                  </w:r>
                </w:p>
              </w:tc>
              <w:tc>
                <w:tcPr>
                  <w:tcW w:w="894" w:type="dxa"/>
                </w:tcPr>
                <w:p w14:paraId="3A9A50BE" w14:textId="77777777" w:rsidR="00735678" w:rsidRDefault="00735678" w:rsidP="00735678">
                  <w:pPr>
                    <w:spacing w:after="0"/>
                    <w:rPr>
                      <w:iCs/>
                      <w:lang w:eastAsia="en-US"/>
                    </w:rPr>
                  </w:pPr>
                  <w:r>
                    <w:rPr>
                      <w:iCs/>
                      <w:lang w:eastAsia="en-US"/>
                    </w:rPr>
                    <w:t>Non-PP</w:t>
                  </w:r>
                </w:p>
              </w:tc>
            </w:tr>
            <w:tr w:rsidR="005D5629" w14:paraId="25EC8897" w14:textId="77777777" w:rsidTr="009C21E6">
              <w:tc>
                <w:tcPr>
                  <w:tcW w:w="1853" w:type="dxa"/>
                </w:tcPr>
                <w:p w14:paraId="382031CA" w14:textId="77777777" w:rsidR="00735678" w:rsidRDefault="00735678" w:rsidP="00735678">
                  <w:pPr>
                    <w:spacing w:after="0"/>
                    <w:rPr>
                      <w:iCs/>
                      <w:lang w:eastAsia="en-US"/>
                    </w:rPr>
                  </w:pPr>
                  <w:r>
                    <w:rPr>
                      <w:iCs/>
                      <w:lang w:eastAsia="en-US"/>
                    </w:rPr>
                    <w:t>% of class GD</w:t>
                  </w:r>
                </w:p>
              </w:tc>
              <w:tc>
                <w:tcPr>
                  <w:tcW w:w="942" w:type="dxa"/>
                </w:tcPr>
                <w:p w14:paraId="4622EF12" w14:textId="08E9E901" w:rsidR="00735678" w:rsidRDefault="005D5629" w:rsidP="00735678">
                  <w:pPr>
                    <w:spacing w:after="0"/>
                    <w:rPr>
                      <w:iCs/>
                      <w:lang w:eastAsia="en-US"/>
                    </w:rPr>
                  </w:pPr>
                  <w:r>
                    <w:rPr>
                      <w:iCs/>
                      <w:lang w:eastAsia="en-US"/>
                    </w:rPr>
                    <w:t>2</w:t>
                  </w:r>
                  <w:r w:rsidR="00752A37">
                    <w:rPr>
                      <w:iCs/>
                      <w:lang w:eastAsia="en-US"/>
                    </w:rPr>
                    <w:t>5</w:t>
                  </w:r>
                  <w:r w:rsidR="00735678">
                    <w:rPr>
                      <w:iCs/>
                      <w:lang w:eastAsia="en-US"/>
                    </w:rPr>
                    <w:t>%</w:t>
                  </w:r>
                  <w:r>
                    <w:rPr>
                      <w:iCs/>
                      <w:lang w:eastAsia="en-US"/>
                    </w:rPr>
                    <w:t xml:space="preserve"> (2 out of </w:t>
                  </w:r>
                  <w:r w:rsidR="00752A37">
                    <w:rPr>
                      <w:iCs/>
                      <w:lang w:eastAsia="en-US"/>
                    </w:rPr>
                    <w:t>8</w:t>
                  </w:r>
                  <w:r>
                    <w:rPr>
                      <w:iCs/>
                      <w:lang w:eastAsia="en-US"/>
                    </w:rPr>
                    <w:t>)</w:t>
                  </w:r>
                </w:p>
              </w:tc>
              <w:tc>
                <w:tcPr>
                  <w:tcW w:w="911" w:type="dxa"/>
                </w:tcPr>
                <w:p w14:paraId="453A5377" w14:textId="78F68A06" w:rsidR="00735678" w:rsidRDefault="00752A37" w:rsidP="00735678">
                  <w:pPr>
                    <w:spacing w:after="0"/>
                    <w:rPr>
                      <w:iCs/>
                      <w:lang w:eastAsia="en-US"/>
                    </w:rPr>
                  </w:pPr>
                  <w:r>
                    <w:rPr>
                      <w:iCs/>
                      <w:lang w:eastAsia="en-US"/>
                    </w:rPr>
                    <w:t>27</w:t>
                  </w:r>
                  <w:r w:rsidR="005D5629">
                    <w:rPr>
                      <w:iCs/>
                      <w:lang w:eastAsia="en-US"/>
                    </w:rPr>
                    <w:t>% (3 out of 1</w:t>
                  </w:r>
                  <w:r>
                    <w:rPr>
                      <w:iCs/>
                      <w:lang w:eastAsia="en-US"/>
                    </w:rPr>
                    <w:t>1</w:t>
                  </w:r>
                  <w:r w:rsidR="005D5629">
                    <w:rPr>
                      <w:iCs/>
                      <w:lang w:eastAsia="en-US"/>
                    </w:rPr>
                    <w:t>)</w:t>
                  </w:r>
                </w:p>
              </w:tc>
              <w:tc>
                <w:tcPr>
                  <w:tcW w:w="978" w:type="dxa"/>
                </w:tcPr>
                <w:p w14:paraId="69A0D279" w14:textId="77777777" w:rsidR="00735678" w:rsidRDefault="00735678" w:rsidP="00735678">
                  <w:pPr>
                    <w:spacing w:after="0"/>
                    <w:rPr>
                      <w:iCs/>
                      <w:lang w:eastAsia="en-US"/>
                    </w:rPr>
                  </w:pPr>
                  <w:r>
                    <w:rPr>
                      <w:iCs/>
                      <w:lang w:eastAsia="en-US"/>
                    </w:rPr>
                    <w:t>0%</w:t>
                  </w:r>
                </w:p>
              </w:tc>
              <w:tc>
                <w:tcPr>
                  <w:tcW w:w="875" w:type="dxa"/>
                </w:tcPr>
                <w:p w14:paraId="59B7486B" w14:textId="07DC1C43" w:rsidR="00735678" w:rsidRDefault="00752A37" w:rsidP="00735678">
                  <w:pPr>
                    <w:spacing w:after="0"/>
                    <w:rPr>
                      <w:iCs/>
                      <w:lang w:eastAsia="en-US"/>
                    </w:rPr>
                  </w:pPr>
                  <w:r>
                    <w:rPr>
                      <w:iCs/>
                      <w:lang w:eastAsia="en-US"/>
                    </w:rPr>
                    <w:t>9</w:t>
                  </w:r>
                  <w:r w:rsidR="00735678">
                    <w:rPr>
                      <w:iCs/>
                      <w:lang w:eastAsia="en-US"/>
                    </w:rPr>
                    <w:t>%</w:t>
                  </w:r>
                  <w:r w:rsidR="005D5629">
                    <w:rPr>
                      <w:iCs/>
                      <w:lang w:eastAsia="en-US"/>
                    </w:rPr>
                    <w:t xml:space="preserve"> (1 out of 1</w:t>
                  </w:r>
                  <w:r>
                    <w:rPr>
                      <w:iCs/>
                      <w:lang w:eastAsia="en-US"/>
                    </w:rPr>
                    <w:t>1</w:t>
                  </w:r>
                  <w:r w:rsidR="005D5629">
                    <w:rPr>
                      <w:iCs/>
                      <w:lang w:eastAsia="en-US"/>
                    </w:rPr>
                    <w:t>)</w:t>
                  </w:r>
                </w:p>
              </w:tc>
              <w:tc>
                <w:tcPr>
                  <w:tcW w:w="818" w:type="dxa"/>
                </w:tcPr>
                <w:p w14:paraId="67621041" w14:textId="61BC985B" w:rsidR="00735678" w:rsidRDefault="005D5629" w:rsidP="00735678">
                  <w:pPr>
                    <w:spacing w:after="0"/>
                    <w:rPr>
                      <w:iCs/>
                      <w:lang w:eastAsia="en-US"/>
                    </w:rPr>
                  </w:pPr>
                  <w:r>
                    <w:rPr>
                      <w:iCs/>
                      <w:lang w:eastAsia="en-US"/>
                    </w:rPr>
                    <w:t>1</w:t>
                  </w:r>
                  <w:r w:rsidR="00752A37">
                    <w:rPr>
                      <w:iCs/>
                      <w:lang w:eastAsia="en-US"/>
                    </w:rPr>
                    <w:t>3</w:t>
                  </w:r>
                  <w:r w:rsidR="00735678">
                    <w:rPr>
                      <w:iCs/>
                      <w:lang w:eastAsia="en-US"/>
                    </w:rPr>
                    <w:t>%</w:t>
                  </w:r>
                  <w:r>
                    <w:rPr>
                      <w:iCs/>
                      <w:lang w:eastAsia="en-US"/>
                    </w:rPr>
                    <w:t xml:space="preserve"> (1 out of </w:t>
                  </w:r>
                  <w:r w:rsidR="00752A37">
                    <w:rPr>
                      <w:iCs/>
                      <w:lang w:eastAsia="en-US"/>
                    </w:rPr>
                    <w:t>8</w:t>
                  </w:r>
                  <w:r>
                    <w:rPr>
                      <w:iCs/>
                      <w:lang w:eastAsia="en-US"/>
                    </w:rPr>
                    <w:t>)</w:t>
                  </w:r>
                </w:p>
              </w:tc>
              <w:tc>
                <w:tcPr>
                  <w:tcW w:w="1036" w:type="dxa"/>
                </w:tcPr>
                <w:p w14:paraId="38167038" w14:textId="78730DDB" w:rsidR="00735678" w:rsidRDefault="005D5629" w:rsidP="00735678">
                  <w:pPr>
                    <w:spacing w:after="0"/>
                    <w:rPr>
                      <w:iCs/>
                      <w:lang w:eastAsia="en-US"/>
                    </w:rPr>
                  </w:pPr>
                  <w:r>
                    <w:rPr>
                      <w:iCs/>
                      <w:lang w:eastAsia="en-US"/>
                    </w:rPr>
                    <w:t>40</w:t>
                  </w:r>
                  <w:r w:rsidR="00735678">
                    <w:rPr>
                      <w:iCs/>
                      <w:lang w:eastAsia="en-US"/>
                    </w:rPr>
                    <w:t>%</w:t>
                  </w:r>
                  <w:r>
                    <w:rPr>
                      <w:iCs/>
                      <w:lang w:eastAsia="en-US"/>
                    </w:rPr>
                    <w:t xml:space="preserve"> (4 out of 10)</w:t>
                  </w:r>
                </w:p>
              </w:tc>
              <w:tc>
                <w:tcPr>
                  <w:tcW w:w="960" w:type="dxa"/>
                </w:tcPr>
                <w:p w14:paraId="4FDBEFAE" w14:textId="77777777" w:rsidR="00735678" w:rsidRDefault="00735678" w:rsidP="00735678">
                  <w:pPr>
                    <w:spacing w:after="0"/>
                    <w:rPr>
                      <w:iCs/>
                      <w:lang w:eastAsia="en-US"/>
                    </w:rPr>
                  </w:pPr>
                  <w:r>
                    <w:rPr>
                      <w:iCs/>
                      <w:lang w:eastAsia="en-US"/>
                    </w:rPr>
                    <w:t>0%</w:t>
                  </w:r>
                </w:p>
              </w:tc>
              <w:tc>
                <w:tcPr>
                  <w:tcW w:w="894" w:type="dxa"/>
                </w:tcPr>
                <w:p w14:paraId="4386D029" w14:textId="0E0DF1CF" w:rsidR="00735678" w:rsidRDefault="005D5629" w:rsidP="00735678">
                  <w:pPr>
                    <w:spacing w:after="0"/>
                    <w:rPr>
                      <w:iCs/>
                      <w:lang w:eastAsia="en-US"/>
                    </w:rPr>
                  </w:pPr>
                  <w:r>
                    <w:rPr>
                      <w:iCs/>
                      <w:lang w:eastAsia="en-US"/>
                    </w:rPr>
                    <w:t>1</w:t>
                  </w:r>
                  <w:r w:rsidR="00842EE9">
                    <w:rPr>
                      <w:iCs/>
                      <w:lang w:eastAsia="en-US"/>
                    </w:rPr>
                    <w:t>1</w:t>
                  </w:r>
                  <w:r w:rsidR="00735678">
                    <w:rPr>
                      <w:iCs/>
                      <w:lang w:eastAsia="en-US"/>
                    </w:rPr>
                    <w:t>%</w:t>
                  </w:r>
                  <w:r>
                    <w:rPr>
                      <w:iCs/>
                      <w:lang w:eastAsia="en-US"/>
                    </w:rPr>
                    <w:t xml:space="preserve"> (1 out of 1</w:t>
                  </w:r>
                  <w:r w:rsidR="00842EE9">
                    <w:rPr>
                      <w:iCs/>
                      <w:lang w:eastAsia="en-US"/>
                    </w:rPr>
                    <w:t>1</w:t>
                  </w:r>
                  <w:r>
                    <w:rPr>
                      <w:iCs/>
                      <w:lang w:eastAsia="en-US"/>
                    </w:rPr>
                    <w:t>)</w:t>
                  </w:r>
                </w:p>
              </w:tc>
            </w:tr>
            <w:tr w:rsidR="005D5629" w14:paraId="5D072B9B" w14:textId="77777777" w:rsidTr="009C21E6">
              <w:tc>
                <w:tcPr>
                  <w:tcW w:w="1853" w:type="dxa"/>
                </w:tcPr>
                <w:p w14:paraId="7E40DE92" w14:textId="77777777" w:rsidR="00735678" w:rsidRDefault="00735678" w:rsidP="00735678">
                  <w:pPr>
                    <w:spacing w:after="0"/>
                    <w:rPr>
                      <w:iCs/>
                      <w:lang w:eastAsia="en-US"/>
                    </w:rPr>
                  </w:pPr>
                  <w:r>
                    <w:rPr>
                      <w:iCs/>
                      <w:lang w:eastAsia="en-US"/>
                    </w:rPr>
                    <w:t>% of class at ARE</w:t>
                  </w:r>
                </w:p>
              </w:tc>
              <w:tc>
                <w:tcPr>
                  <w:tcW w:w="942" w:type="dxa"/>
                </w:tcPr>
                <w:p w14:paraId="70AC7029" w14:textId="2BD31803" w:rsidR="00735678" w:rsidRDefault="00752A37" w:rsidP="00735678">
                  <w:pPr>
                    <w:spacing w:after="0"/>
                    <w:rPr>
                      <w:iCs/>
                      <w:lang w:eastAsia="en-US"/>
                    </w:rPr>
                  </w:pPr>
                  <w:r>
                    <w:rPr>
                      <w:iCs/>
                      <w:lang w:eastAsia="en-US"/>
                    </w:rPr>
                    <w:t>63</w:t>
                  </w:r>
                  <w:r w:rsidR="00735678">
                    <w:rPr>
                      <w:iCs/>
                      <w:lang w:eastAsia="en-US"/>
                    </w:rPr>
                    <w:t>%</w:t>
                  </w:r>
                </w:p>
                <w:p w14:paraId="19A77F74" w14:textId="5C92E89B" w:rsidR="005D5629" w:rsidRDefault="005D5629" w:rsidP="00735678">
                  <w:pPr>
                    <w:spacing w:after="0"/>
                    <w:rPr>
                      <w:iCs/>
                      <w:lang w:eastAsia="en-US"/>
                    </w:rPr>
                  </w:pPr>
                  <w:r>
                    <w:rPr>
                      <w:iCs/>
                      <w:lang w:eastAsia="en-US"/>
                    </w:rPr>
                    <w:t xml:space="preserve">(5 out of </w:t>
                  </w:r>
                  <w:r w:rsidR="00752A37">
                    <w:rPr>
                      <w:iCs/>
                      <w:lang w:eastAsia="en-US"/>
                    </w:rPr>
                    <w:t>8</w:t>
                  </w:r>
                  <w:r>
                    <w:rPr>
                      <w:iCs/>
                      <w:lang w:eastAsia="en-US"/>
                    </w:rPr>
                    <w:t xml:space="preserve"> )</w:t>
                  </w:r>
                </w:p>
              </w:tc>
              <w:tc>
                <w:tcPr>
                  <w:tcW w:w="911" w:type="dxa"/>
                </w:tcPr>
                <w:p w14:paraId="0F76FDA2" w14:textId="7ABDAA0D" w:rsidR="00735678" w:rsidRDefault="00752A37" w:rsidP="00735678">
                  <w:pPr>
                    <w:spacing w:after="0"/>
                    <w:rPr>
                      <w:iCs/>
                      <w:lang w:eastAsia="en-US"/>
                    </w:rPr>
                  </w:pPr>
                  <w:r>
                    <w:rPr>
                      <w:iCs/>
                      <w:lang w:eastAsia="en-US"/>
                    </w:rPr>
                    <w:t>64</w:t>
                  </w:r>
                  <w:r w:rsidR="00735678">
                    <w:rPr>
                      <w:iCs/>
                      <w:lang w:eastAsia="en-US"/>
                    </w:rPr>
                    <w:t>%</w:t>
                  </w:r>
                </w:p>
                <w:p w14:paraId="49D134B8" w14:textId="707EA36A" w:rsidR="005D5629" w:rsidRDefault="005D5629" w:rsidP="00735678">
                  <w:pPr>
                    <w:spacing w:after="0"/>
                    <w:rPr>
                      <w:iCs/>
                      <w:lang w:eastAsia="en-US"/>
                    </w:rPr>
                  </w:pPr>
                  <w:r>
                    <w:rPr>
                      <w:iCs/>
                      <w:lang w:eastAsia="en-US"/>
                    </w:rPr>
                    <w:t>(7 out of 1</w:t>
                  </w:r>
                  <w:r w:rsidR="00752A37">
                    <w:rPr>
                      <w:iCs/>
                      <w:lang w:eastAsia="en-US"/>
                    </w:rPr>
                    <w:t>1</w:t>
                  </w:r>
                  <w:r>
                    <w:rPr>
                      <w:iCs/>
                      <w:lang w:eastAsia="en-US"/>
                    </w:rPr>
                    <w:t>)</w:t>
                  </w:r>
                </w:p>
              </w:tc>
              <w:tc>
                <w:tcPr>
                  <w:tcW w:w="978" w:type="dxa"/>
                </w:tcPr>
                <w:p w14:paraId="79E05DCB" w14:textId="49EB332D" w:rsidR="00735678" w:rsidRDefault="00752A37" w:rsidP="00735678">
                  <w:pPr>
                    <w:spacing w:after="0"/>
                    <w:rPr>
                      <w:iCs/>
                      <w:lang w:eastAsia="en-US"/>
                    </w:rPr>
                  </w:pPr>
                  <w:r>
                    <w:rPr>
                      <w:iCs/>
                      <w:lang w:eastAsia="en-US"/>
                    </w:rPr>
                    <w:t>63</w:t>
                  </w:r>
                  <w:r w:rsidR="00735678">
                    <w:rPr>
                      <w:iCs/>
                      <w:lang w:eastAsia="en-US"/>
                    </w:rPr>
                    <w:t>%</w:t>
                  </w:r>
                  <w:r w:rsidR="005D5629">
                    <w:rPr>
                      <w:iCs/>
                      <w:lang w:eastAsia="en-US"/>
                    </w:rPr>
                    <w:t xml:space="preserve"> (5 out of </w:t>
                  </w:r>
                  <w:r>
                    <w:rPr>
                      <w:iCs/>
                      <w:lang w:eastAsia="en-US"/>
                    </w:rPr>
                    <w:t>8</w:t>
                  </w:r>
                  <w:r w:rsidR="005D5629">
                    <w:rPr>
                      <w:iCs/>
                      <w:lang w:eastAsia="en-US"/>
                    </w:rPr>
                    <w:t>)</w:t>
                  </w:r>
                </w:p>
              </w:tc>
              <w:tc>
                <w:tcPr>
                  <w:tcW w:w="875" w:type="dxa"/>
                </w:tcPr>
                <w:p w14:paraId="2F7B249E" w14:textId="4F02EC59" w:rsidR="00735678" w:rsidRDefault="00752A37" w:rsidP="00735678">
                  <w:pPr>
                    <w:spacing w:after="0"/>
                    <w:rPr>
                      <w:iCs/>
                      <w:lang w:eastAsia="en-US"/>
                    </w:rPr>
                  </w:pPr>
                  <w:r>
                    <w:rPr>
                      <w:iCs/>
                      <w:lang w:eastAsia="en-US"/>
                    </w:rPr>
                    <w:t>73</w:t>
                  </w:r>
                  <w:r w:rsidR="00735678">
                    <w:rPr>
                      <w:iCs/>
                      <w:lang w:eastAsia="en-US"/>
                    </w:rPr>
                    <w:t>%</w:t>
                  </w:r>
                  <w:r w:rsidR="005D5629">
                    <w:rPr>
                      <w:iCs/>
                      <w:lang w:eastAsia="en-US"/>
                    </w:rPr>
                    <w:t xml:space="preserve"> (8 out of 1</w:t>
                  </w:r>
                  <w:r>
                    <w:rPr>
                      <w:iCs/>
                      <w:lang w:eastAsia="en-US"/>
                    </w:rPr>
                    <w:t>1</w:t>
                  </w:r>
                  <w:r w:rsidR="005D5629">
                    <w:rPr>
                      <w:iCs/>
                      <w:lang w:eastAsia="en-US"/>
                    </w:rPr>
                    <w:t>)</w:t>
                  </w:r>
                </w:p>
              </w:tc>
              <w:tc>
                <w:tcPr>
                  <w:tcW w:w="818" w:type="dxa"/>
                </w:tcPr>
                <w:p w14:paraId="22387C38" w14:textId="399F1AA4" w:rsidR="00735678" w:rsidRDefault="00752A37" w:rsidP="00735678">
                  <w:pPr>
                    <w:spacing w:after="0"/>
                    <w:rPr>
                      <w:iCs/>
                      <w:lang w:eastAsia="en-US"/>
                    </w:rPr>
                  </w:pPr>
                  <w:r>
                    <w:rPr>
                      <w:iCs/>
                      <w:lang w:eastAsia="en-US"/>
                    </w:rPr>
                    <w:t>88</w:t>
                  </w:r>
                  <w:r w:rsidR="00735678">
                    <w:rPr>
                      <w:iCs/>
                      <w:lang w:eastAsia="en-US"/>
                    </w:rPr>
                    <w:t>%</w:t>
                  </w:r>
                  <w:r w:rsidR="005D5629">
                    <w:rPr>
                      <w:iCs/>
                      <w:lang w:eastAsia="en-US"/>
                    </w:rPr>
                    <w:t xml:space="preserve"> (7 out of </w:t>
                  </w:r>
                  <w:r>
                    <w:rPr>
                      <w:iCs/>
                      <w:lang w:eastAsia="en-US"/>
                    </w:rPr>
                    <w:t>8</w:t>
                  </w:r>
                  <w:r w:rsidR="005D5629">
                    <w:rPr>
                      <w:iCs/>
                      <w:lang w:eastAsia="en-US"/>
                    </w:rPr>
                    <w:t>)</w:t>
                  </w:r>
                </w:p>
              </w:tc>
              <w:tc>
                <w:tcPr>
                  <w:tcW w:w="1036" w:type="dxa"/>
                </w:tcPr>
                <w:p w14:paraId="6C023A5F" w14:textId="2E1736D2" w:rsidR="00735678" w:rsidRDefault="00752A37" w:rsidP="00735678">
                  <w:pPr>
                    <w:spacing w:after="0"/>
                    <w:rPr>
                      <w:iCs/>
                      <w:lang w:eastAsia="en-US"/>
                    </w:rPr>
                  </w:pPr>
                  <w:r>
                    <w:rPr>
                      <w:iCs/>
                      <w:lang w:eastAsia="en-US"/>
                    </w:rPr>
                    <w:t>78</w:t>
                  </w:r>
                  <w:r w:rsidR="00735678">
                    <w:rPr>
                      <w:iCs/>
                      <w:lang w:eastAsia="en-US"/>
                    </w:rPr>
                    <w:t>%</w:t>
                  </w:r>
                  <w:r w:rsidR="005D5629">
                    <w:rPr>
                      <w:iCs/>
                      <w:lang w:eastAsia="en-US"/>
                    </w:rPr>
                    <w:t xml:space="preserve"> (</w:t>
                  </w:r>
                  <w:r>
                    <w:rPr>
                      <w:iCs/>
                      <w:lang w:eastAsia="en-US"/>
                    </w:rPr>
                    <w:t>7</w:t>
                  </w:r>
                  <w:r w:rsidR="005D5629">
                    <w:rPr>
                      <w:iCs/>
                      <w:lang w:eastAsia="en-US"/>
                    </w:rPr>
                    <w:t xml:space="preserve"> out of </w:t>
                  </w:r>
                  <w:r w:rsidR="00F86856">
                    <w:rPr>
                      <w:iCs/>
                      <w:lang w:eastAsia="en-US"/>
                    </w:rPr>
                    <w:t>11</w:t>
                  </w:r>
                  <w:r w:rsidR="005D5629">
                    <w:rPr>
                      <w:iCs/>
                      <w:lang w:eastAsia="en-US"/>
                    </w:rPr>
                    <w:t>)</w:t>
                  </w:r>
                </w:p>
              </w:tc>
              <w:tc>
                <w:tcPr>
                  <w:tcW w:w="960" w:type="dxa"/>
                </w:tcPr>
                <w:p w14:paraId="2C863A09" w14:textId="674AF047" w:rsidR="00735678" w:rsidRDefault="00842EE9" w:rsidP="00735678">
                  <w:pPr>
                    <w:spacing w:after="0"/>
                    <w:rPr>
                      <w:iCs/>
                      <w:lang w:eastAsia="en-US"/>
                    </w:rPr>
                  </w:pPr>
                  <w:r>
                    <w:rPr>
                      <w:iCs/>
                      <w:lang w:eastAsia="en-US"/>
                    </w:rPr>
                    <w:t>50</w:t>
                  </w:r>
                  <w:r w:rsidR="00735678">
                    <w:rPr>
                      <w:iCs/>
                      <w:lang w:eastAsia="en-US"/>
                    </w:rPr>
                    <w:t>%</w:t>
                  </w:r>
                  <w:r w:rsidR="005D5629">
                    <w:rPr>
                      <w:iCs/>
                      <w:lang w:eastAsia="en-US"/>
                    </w:rPr>
                    <w:t xml:space="preserve"> (4 out of </w:t>
                  </w:r>
                  <w:r>
                    <w:rPr>
                      <w:iCs/>
                      <w:lang w:eastAsia="en-US"/>
                    </w:rPr>
                    <w:t>8</w:t>
                  </w:r>
                  <w:r w:rsidR="005D5629">
                    <w:rPr>
                      <w:iCs/>
                      <w:lang w:eastAsia="en-US"/>
                    </w:rPr>
                    <w:t>)</w:t>
                  </w:r>
                </w:p>
              </w:tc>
              <w:tc>
                <w:tcPr>
                  <w:tcW w:w="894" w:type="dxa"/>
                </w:tcPr>
                <w:p w14:paraId="346D37EC" w14:textId="2B434AED" w:rsidR="00735678" w:rsidRDefault="00842EE9" w:rsidP="00735678">
                  <w:pPr>
                    <w:spacing w:after="0"/>
                    <w:rPr>
                      <w:iCs/>
                      <w:lang w:eastAsia="en-US"/>
                    </w:rPr>
                  </w:pPr>
                  <w:r>
                    <w:rPr>
                      <w:iCs/>
                      <w:lang w:eastAsia="en-US"/>
                    </w:rPr>
                    <w:t>64</w:t>
                  </w:r>
                  <w:r w:rsidR="00735678">
                    <w:rPr>
                      <w:iCs/>
                      <w:lang w:eastAsia="en-US"/>
                    </w:rPr>
                    <w:t>%</w:t>
                  </w:r>
                  <w:r w:rsidR="00FF24C8">
                    <w:rPr>
                      <w:iCs/>
                      <w:lang w:eastAsia="en-US"/>
                    </w:rPr>
                    <w:t xml:space="preserve"> (7 out of 1</w:t>
                  </w:r>
                  <w:r>
                    <w:rPr>
                      <w:iCs/>
                      <w:lang w:eastAsia="en-US"/>
                    </w:rPr>
                    <w:t>1</w:t>
                  </w:r>
                  <w:r w:rsidR="00FF24C8">
                    <w:rPr>
                      <w:iCs/>
                      <w:lang w:eastAsia="en-US"/>
                    </w:rPr>
                    <w:t>)</w:t>
                  </w:r>
                </w:p>
              </w:tc>
            </w:tr>
            <w:tr w:rsidR="005D5629" w14:paraId="3EDA1414" w14:textId="77777777" w:rsidTr="009C21E6">
              <w:tc>
                <w:tcPr>
                  <w:tcW w:w="1853" w:type="dxa"/>
                </w:tcPr>
                <w:p w14:paraId="7720AF19" w14:textId="77777777" w:rsidR="00735678" w:rsidRDefault="00735678" w:rsidP="00735678">
                  <w:pPr>
                    <w:spacing w:after="0"/>
                    <w:rPr>
                      <w:iCs/>
                      <w:lang w:eastAsia="en-US"/>
                    </w:rPr>
                  </w:pPr>
                  <w:r>
                    <w:rPr>
                      <w:iCs/>
                      <w:lang w:eastAsia="en-US"/>
                    </w:rPr>
                    <w:t>% of class below ARE</w:t>
                  </w:r>
                </w:p>
              </w:tc>
              <w:tc>
                <w:tcPr>
                  <w:tcW w:w="942" w:type="dxa"/>
                </w:tcPr>
                <w:p w14:paraId="3BEA5176" w14:textId="447B9061" w:rsidR="00735678" w:rsidRDefault="00752A37" w:rsidP="00735678">
                  <w:pPr>
                    <w:spacing w:after="0"/>
                    <w:rPr>
                      <w:iCs/>
                      <w:lang w:eastAsia="en-US"/>
                    </w:rPr>
                  </w:pPr>
                  <w:r>
                    <w:rPr>
                      <w:iCs/>
                      <w:lang w:eastAsia="en-US"/>
                    </w:rPr>
                    <w:t>37</w:t>
                  </w:r>
                  <w:r w:rsidR="00735678">
                    <w:rPr>
                      <w:iCs/>
                      <w:lang w:eastAsia="en-US"/>
                    </w:rPr>
                    <w:t>%</w:t>
                  </w:r>
                </w:p>
              </w:tc>
              <w:tc>
                <w:tcPr>
                  <w:tcW w:w="911" w:type="dxa"/>
                </w:tcPr>
                <w:p w14:paraId="2743ED9E" w14:textId="64C584F2" w:rsidR="00735678" w:rsidRDefault="005D5629" w:rsidP="00735678">
                  <w:pPr>
                    <w:spacing w:after="0"/>
                    <w:rPr>
                      <w:iCs/>
                      <w:lang w:eastAsia="en-US"/>
                    </w:rPr>
                  </w:pPr>
                  <w:r>
                    <w:rPr>
                      <w:iCs/>
                      <w:lang w:eastAsia="en-US"/>
                    </w:rPr>
                    <w:t>3</w:t>
                  </w:r>
                  <w:r w:rsidR="00752A37">
                    <w:rPr>
                      <w:iCs/>
                      <w:lang w:eastAsia="en-US"/>
                    </w:rPr>
                    <w:t>6</w:t>
                  </w:r>
                  <w:r w:rsidR="00735678">
                    <w:rPr>
                      <w:iCs/>
                      <w:lang w:eastAsia="en-US"/>
                    </w:rPr>
                    <w:t>%</w:t>
                  </w:r>
                </w:p>
              </w:tc>
              <w:tc>
                <w:tcPr>
                  <w:tcW w:w="978" w:type="dxa"/>
                </w:tcPr>
                <w:p w14:paraId="73FF8064" w14:textId="33ECE7A4" w:rsidR="00735678" w:rsidRDefault="00735678" w:rsidP="00735678">
                  <w:pPr>
                    <w:spacing w:after="0"/>
                    <w:rPr>
                      <w:iCs/>
                      <w:lang w:eastAsia="en-US"/>
                    </w:rPr>
                  </w:pPr>
                  <w:r>
                    <w:rPr>
                      <w:iCs/>
                      <w:lang w:eastAsia="en-US"/>
                    </w:rPr>
                    <w:t>4</w:t>
                  </w:r>
                  <w:r w:rsidR="005D5629">
                    <w:rPr>
                      <w:iCs/>
                      <w:lang w:eastAsia="en-US"/>
                    </w:rPr>
                    <w:t>4</w:t>
                  </w:r>
                  <w:r>
                    <w:rPr>
                      <w:iCs/>
                      <w:lang w:eastAsia="en-US"/>
                    </w:rPr>
                    <w:t>%</w:t>
                  </w:r>
                </w:p>
              </w:tc>
              <w:tc>
                <w:tcPr>
                  <w:tcW w:w="875" w:type="dxa"/>
                </w:tcPr>
                <w:p w14:paraId="2BED6CCC" w14:textId="1BEDA948" w:rsidR="00735678" w:rsidRDefault="005D5629" w:rsidP="00735678">
                  <w:pPr>
                    <w:spacing w:after="0"/>
                    <w:rPr>
                      <w:iCs/>
                      <w:lang w:eastAsia="en-US"/>
                    </w:rPr>
                  </w:pPr>
                  <w:r>
                    <w:rPr>
                      <w:iCs/>
                      <w:lang w:eastAsia="en-US"/>
                    </w:rPr>
                    <w:t>2</w:t>
                  </w:r>
                  <w:r w:rsidR="00752A37">
                    <w:rPr>
                      <w:iCs/>
                      <w:lang w:eastAsia="en-US"/>
                    </w:rPr>
                    <w:t>7</w:t>
                  </w:r>
                  <w:r w:rsidR="00735678">
                    <w:rPr>
                      <w:iCs/>
                      <w:lang w:eastAsia="en-US"/>
                    </w:rPr>
                    <w:t>%</w:t>
                  </w:r>
                </w:p>
              </w:tc>
              <w:tc>
                <w:tcPr>
                  <w:tcW w:w="818" w:type="dxa"/>
                </w:tcPr>
                <w:p w14:paraId="4E739A50" w14:textId="07AB12A5" w:rsidR="00735678" w:rsidRDefault="005D5629" w:rsidP="00735678">
                  <w:pPr>
                    <w:spacing w:after="0"/>
                    <w:rPr>
                      <w:iCs/>
                      <w:lang w:eastAsia="en-US"/>
                    </w:rPr>
                  </w:pPr>
                  <w:r>
                    <w:rPr>
                      <w:iCs/>
                      <w:lang w:eastAsia="en-US"/>
                    </w:rPr>
                    <w:t>22</w:t>
                  </w:r>
                  <w:r w:rsidR="00735678">
                    <w:rPr>
                      <w:iCs/>
                      <w:lang w:eastAsia="en-US"/>
                    </w:rPr>
                    <w:t>%</w:t>
                  </w:r>
                </w:p>
              </w:tc>
              <w:tc>
                <w:tcPr>
                  <w:tcW w:w="1036" w:type="dxa"/>
                </w:tcPr>
                <w:p w14:paraId="43F3BE7D" w14:textId="1E7890B7" w:rsidR="00735678" w:rsidRDefault="00752A37" w:rsidP="00735678">
                  <w:pPr>
                    <w:spacing w:after="0"/>
                    <w:rPr>
                      <w:iCs/>
                      <w:lang w:eastAsia="en-US"/>
                    </w:rPr>
                  </w:pPr>
                  <w:r>
                    <w:rPr>
                      <w:iCs/>
                      <w:lang w:eastAsia="en-US"/>
                    </w:rPr>
                    <w:t>22</w:t>
                  </w:r>
                  <w:r w:rsidR="00735678">
                    <w:rPr>
                      <w:iCs/>
                      <w:lang w:eastAsia="en-US"/>
                    </w:rPr>
                    <w:t>%</w:t>
                  </w:r>
                </w:p>
              </w:tc>
              <w:tc>
                <w:tcPr>
                  <w:tcW w:w="960" w:type="dxa"/>
                </w:tcPr>
                <w:p w14:paraId="78DF8990" w14:textId="71D3B160" w:rsidR="00735678" w:rsidRDefault="005D5629" w:rsidP="00735678">
                  <w:pPr>
                    <w:spacing w:after="0"/>
                    <w:rPr>
                      <w:iCs/>
                      <w:lang w:eastAsia="en-US"/>
                    </w:rPr>
                  </w:pPr>
                  <w:r>
                    <w:rPr>
                      <w:iCs/>
                      <w:lang w:eastAsia="en-US"/>
                    </w:rPr>
                    <w:t>5</w:t>
                  </w:r>
                  <w:r w:rsidR="00842EE9">
                    <w:rPr>
                      <w:iCs/>
                      <w:lang w:eastAsia="en-US"/>
                    </w:rPr>
                    <w:t>0</w:t>
                  </w:r>
                  <w:r w:rsidR="00735678">
                    <w:rPr>
                      <w:iCs/>
                      <w:lang w:eastAsia="en-US"/>
                    </w:rPr>
                    <w:t>%</w:t>
                  </w:r>
                </w:p>
              </w:tc>
              <w:tc>
                <w:tcPr>
                  <w:tcW w:w="894" w:type="dxa"/>
                </w:tcPr>
                <w:p w14:paraId="32AD5672" w14:textId="012238BD" w:rsidR="00735678" w:rsidRDefault="00FF24C8" w:rsidP="00735678">
                  <w:pPr>
                    <w:spacing w:after="0"/>
                    <w:rPr>
                      <w:iCs/>
                      <w:lang w:eastAsia="en-US"/>
                    </w:rPr>
                  </w:pPr>
                  <w:r>
                    <w:rPr>
                      <w:iCs/>
                      <w:lang w:eastAsia="en-US"/>
                    </w:rPr>
                    <w:t>3</w:t>
                  </w:r>
                  <w:r w:rsidR="00842EE9">
                    <w:rPr>
                      <w:iCs/>
                      <w:lang w:eastAsia="en-US"/>
                    </w:rPr>
                    <w:t>6</w:t>
                  </w:r>
                  <w:r w:rsidR="00735678">
                    <w:rPr>
                      <w:iCs/>
                      <w:lang w:eastAsia="en-US"/>
                    </w:rPr>
                    <w:t>%</w:t>
                  </w:r>
                </w:p>
              </w:tc>
            </w:tr>
          </w:tbl>
          <w:p w14:paraId="7DC86379" w14:textId="1AFBFFE7" w:rsidR="00735678" w:rsidRDefault="00FF24C8" w:rsidP="00407BAD">
            <w:pPr>
              <w:spacing w:after="0"/>
              <w:rPr>
                <w:iCs/>
                <w:lang w:eastAsia="en-US"/>
              </w:rPr>
            </w:pPr>
            <w:r>
              <w:rPr>
                <w:iCs/>
                <w:lang w:eastAsia="en-US"/>
              </w:rPr>
              <w:t>Maths is stronger for PP children- Year 6 booster interventions was maths based and clearly had positive impact on outcomes. Focus on  writing for PP children.</w:t>
            </w:r>
          </w:p>
          <w:p w14:paraId="5094FBD0" w14:textId="7E8D2B8E" w:rsidR="00842EE9" w:rsidRDefault="00842EE9" w:rsidP="00407BAD">
            <w:pPr>
              <w:spacing w:after="0"/>
              <w:rPr>
                <w:iCs/>
                <w:lang w:eastAsia="en-US"/>
              </w:rPr>
            </w:pPr>
          </w:p>
          <w:p w14:paraId="22C30D1D" w14:textId="0E422255" w:rsidR="00735678" w:rsidRDefault="00842EE9" w:rsidP="00407BAD">
            <w:pPr>
              <w:spacing w:after="0"/>
              <w:rPr>
                <w:iCs/>
                <w:lang w:eastAsia="en-US"/>
              </w:rPr>
            </w:pPr>
            <w:r>
              <w:rPr>
                <w:iCs/>
                <w:lang w:eastAsia="en-US"/>
              </w:rPr>
              <w:t>KS2 writing and maths ARE above LA.</w:t>
            </w:r>
          </w:p>
          <w:p w14:paraId="1A2BD5E5" w14:textId="1EB982D1" w:rsidR="00907B83" w:rsidRDefault="00907B83" w:rsidP="00407BAD">
            <w:pPr>
              <w:spacing w:after="0"/>
              <w:rPr>
                <w:iCs/>
                <w:lang w:eastAsia="en-US"/>
              </w:rPr>
            </w:pPr>
          </w:p>
          <w:p w14:paraId="4DDC507C" w14:textId="60A10029" w:rsidR="00907B83" w:rsidRDefault="00907B83" w:rsidP="00407BAD">
            <w:pPr>
              <w:spacing w:after="0"/>
              <w:rPr>
                <w:iCs/>
                <w:u w:val="single"/>
                <w:lang w:eastAsia="en-US"/>
              </w:rPr>
            </w:pPr>
            <w:r w:rsidRPr="00907B83">
              <w:rPr>
                <w:iCs/>
                <w:u w:val="single"/>
                <w:lang w:eastAsia="en-US"/>
              </w:rPr>
              <w:t>Children’s Language Skills</w:t>
            </w:r>
          </w:p>
          <w:p w14:paraId="1B900960" w14:textId="648D2102" w:rsidR="00907B83" w:rsidRDefault="00907B83" w:rsidP="00407BAD">
            <w:pPr>
              <w:spacing w:after="0"/>
              <w:rPr>
                <w:iCs/>
                <w:lang w:eastAsia="en-US"/>
              </w:rPr>
            </w:pPr>
            <w:r w:rsidRPr="00907B83">
              <w:rPr>
                <w:iCs/>
                <w:lang w:eastAsia="en-US"/>
              </w:rPr>
              <w:t xml:space="preserve">Whilst </w:t>
            </w:r>
            <w:r>
              <w:rPr>
                <w:iCs/>
                <w:lang w:eastAsia="en-US"/>
              </w:rPr>
              <w:t>there is no official data to support this. Lesson observations showed children using and applying curriculum related vocabulary more often. The daily use of stories and reading for pleasure initiatives continued to expose children to more vocabulary which is explored as it is encountered.</w:t>
            </w:r>
          </w:p>
          <w:p w14:paraId="153829A3" w14:textId="26A218E0" w:rsidR="00072C1F" w:rsidRDefault="00072C1F" w:rsidP="00407BAD">
            <w:pPr>
              <w:spacing w:after="0"/>
              <w:rPr>
                <w:iCs/>
                <w:lang w:eastAsia="en-US"/>
              </w:rPr>
            </w:pPr>
          </w:p>
          <w:p w14:paraId="33A107DE" w14:textId="01D2129A" w:rsidR="00072C1F" w:rsidRPr="00072C1F" w:rsidRDefault="00072C1F" w:rsidP="00407BAD">
            <w:pPr>
              <w:spacing w:after="0"/>
              <w:rPr>
                <w:iCs/>
                <w:u w:val="single"/>
                <w:lang w:eastAsia="en-US"/>
              </w:rPr>
            </w:pPr>
            <w:r w:rsidRPr="00072C1F">
              <w:rPr>
                <w:iCs/>
                <w:u w:val="single"/>
                <w:lang w:eastAsia="en-US"/>
              </w:rPr>
              <w:t>Supporting children with their mental health</w:t>
            </w:r>
          </w:p>
          <w:p w14:paraId="732053BE" w14:textId="598990B3" w:rsidR="00072C1F" w:rsidRPr="00907B83" w:rsidRDefault="00072C1F" w:rsidP="00407BAD">
            <w:pPr>
              <w:spacing w:after="0"/>
              <w:rPr>
                <w:iCs/>
                <w:lang w:eastAsia="en-US"/>
              </w:rPr>
            </w:pPr>
            <w:r>
              <w:rPr>
                <w:iCs/>
                <w:lang w:eastAsia="en-US"/>
              </w:rPr>
              <w:t>All staff have supported children emotionally. The SLT spend a large proportion of their time on pastoral support for children and families. Other agencies e.g., counsellors have been brought in to offer more specialist support as needed. Parental feedback of the children who have had support, has been very positive.</w:t>
            </w:r>
          </w:p>
          <w:p w14:paraId="61918C48" w14:textId="0D80F9A6" w:rsidR="00FF24C8" w:rsidRDefault="00FF24C8" w:rsidP="00407BAD">
            <w:pPr>
              <w:spacing w:after="0"/>
              <w:rPr>
                <w:iCs/>
                <w:lang w:eastAsia="en-US"/>
              </w:rPr>
            </w:pPr>
          </w:p>
          <w:p w14:paraId="27F607E2" w14:textId="4B124B9D" w:rsidR="00072C1F" w:rsidRPr="00072C1F" w:rsidRDefault="00072C1F" w:rsidP="00407BAD">
            <w:pPr>
              <w:spacing w:after="0"/>
              <w:rPr>
                <w:iCs/>
                <w:u w:val="single"/>
                <w:lang w:eastAsia="en-US"/>
              </w:rPr>
            </w:pPr>
            <w:r w:rsidRPr="00072C1F">
              <w:rPr>
                <w:iCs/>
                <w:u w:val="single"/>
                <w:lang w:eastAsia="en-US"/>
              </w:rPr>
              <w:t>Wider Experiences/ Support</w:t>
            </w:r>
          </w:p>
          <w:p w14:paraId="14112F13" w14:textId="7E1FB151" w:rsidR="00214D71" w:rsidRDefault="004062E1" w:rsidP="00407BAD">
            <w:pPr>
              <w:spacing w:after="0"/>
              <w:rPr>
                <w:iCs/>
                <w:lang w:eastAsia="en-US"/>
              </w:rPr>
            </w:pPr>
            <w:r>
              <w:rPr>
                <w:iCs/>
                <w:lang w:eastAsia="en-US"/>
              </w:rPr>
              <w:t>Around 60 children attend Breakfast club every day, of those 60 50% are children identified as PP. The children are provided with a free breakfast</w:t>
            </w:r>
            <w:r w:rsidR="00490760">
              <w:rPr>
                <w:iCs/>
                <w:lang w:eastAsia="en-US"/>
              </w:rPr>
              <w:t>,</w:t>
            </w:r>
            <w:r>
              <w:rPr>
                <w:iCs/>
                <w:lang w:eastAsia="en-US"/>
              </w:rPr>
              <w:t xml:space="preserve"> and they start the day with a healthy breakfast and</w:t>
            </w:r>
            <w:r w:rsidR="00463AB7">
              <w:rPr>
                <w:iCs/>
                <w:lang w:eastAsia="en-US"/>
              </w:rPr>
              <w:t xml:space="preserve"> ready to start the day positively</w:t>
            </w:r>
            <w:r w:rsidR="00490760">
              <w:rPr>
                <w:iCs/>
                <w:lang w:eastAsia="en-US"/>
              </w:rPr>
              <w:t xml:space="preserve"> and on time.</w:t>
            </w:r>
          </w:p>
          <w:p w14:paraId="43F038EC" w14:textId="77777777" w:rsidR="00463AB7" w:rsidRDefault="00463AB7" w:rsidP="00407BAD">
            <w:pPr>
              <w:spacing w:after="0"/>
              <w:rPr>
                <w:iCs/>
                <w:lang w:eastAsia="en-US"/>
              </w:rPr>
            </w:pPr>
          </w:p>
          <w:p w14:paraId="52E593D5" w14:textId="267FDCEF" w:rsidR="00463AB7" w:rsidRDefault="00463AB7" w:rsidP="00407BAD">
            <w:pPr>
              <w:spacing w:after="0"/>
              <w:rPr>
                <w:iCs/>
                <w:lang w:eastAsia="en-US"/>
              </w:rPr>
            </w:pPr>
            <w:r>
              <w:rPr>
                <w:iCs/>
                <w:lang w:eastAsia="en-US"/>
              </w:rPr>
              <w:t xml:space="preserve">We have continued to subsidise and pay for wherever possible for educational visits to ensure that all children identified with PP are able to access a wide range of activities and experiences. </w:t>
            </w:r>
          </w:p>
          <w:p w14:paraId="124B74CC" w14:textId="73CC83E2" w:rsidR="00072C1F" w:rsidRDefault="00072C1F" w:rsidP="00407BAD">
            <w:pPr>
              <w:spacing w:after="0"/>
              <w:rPr>
                <w:iCs/>
                <w:lang w:eastAsia="en-US"/>
              </w:rPr>
            </w:pPr>
          </w:p>
          <w:p w14:paraId="07EC63C6" w14:textId="161E4947" w:rsidR="00072C1F" w:rsidRDefault="00072C1F" w:rsidP="00407BAD">
            <w:pPr>
              <w:spacing w:after="0"/>
              <w:rPr>
                <w:iCs/>
                <w:lang w:eastAsia="en-US"/>
              </w:rPr>
            </w:pPr>
            <w:r>
              <w:rPr>
                <w:iCs/>
                <w:lang w:eastAsia="en-US"/>
              </w:rPr>
              <w:t>Families experiencing financial barriers have been supported with access to food and uniform.</w:t>
            </w:r>
          </w:p>
          <w:p w14:paraId="22EDD980" w14:textId="19BDB987" w:rsidR="00072C1F" w:rsidRDefault="00072C1F" w:rsidP="00407BAD">
            <w:pPr>
              <w:spacing w:after="0"/>
              <w:rPr>
                <w:iCs/>
                <w:lang w:eastAsia="en-US"/>
              </w:rPr>
            </w:pPr>
          </w:p>
          <w:p w14:paraId="622FDD10" w14:textId="74FE1F17" w:rsidR="00463AB7" w:rsidRPr="00072C1F" w:rsidRDefault="00072C1F" w:rsidP="00407BAD">
            <w:pPr>
              <w:spacing w:after="0"/>
              <w:rPr>
                <w:iCs/>
                <w:u w:val="single"/>
                <w:lang w:eastAsia="en-US"/>
              </w:rPr>
            </w:pPr>
            <w:r w:rsidRPr="00072C1F">
              <w:rPr>
                <w:iCs/>
                <w:u w:val="single"/>
                <w:lang w:eastAsia="en-US"/>
              </w:rPr>
              <w:t>Attendance</w:t>
            </w:r>
          </w:p>
          <w:p w14:paraId="22107E4A" w14:textId="5C01C56A" w:rsidR="00463AB7" w:rsidRDefault="00842EE9" w:rsidP="00407BAD">
            <w:pPr>
              <w:spacing w:after="0"/>
              <w:rPr>
                <w:iCs/>
                <w:u w:val="single"/>
                <w:lang w:eastAsia="en-US"/>
              </w:rPr>
            </w:pPr>
            <w:r>
              <w:rPr>
                <w:iCs/>
                <w:lang w:eastAsia="en-US"/>
              </w:rPr>
              <w:t>Attendance for the whole school was 93.</w:t>
            </w:r>
            <w:r w:rsidR="00072C1F">
              <w:rPr>
                <w:iCs/>
                <w:lang w:eastAsia="en-US"/>
              </w:rPr>
              <w:t>6</w:t>
            </w:r>
            <w:r>
              <w:rPr>
                <w:iCs/>
                <w:lang w:eastAsia="en-US"/>
              </w:rPr>
              <w:t>%. PP attendance was 91.08%</w:t>
            </w:r>
            <w:r w:rsidR="00072C1F">
              <w:rPr>
                <w:iCs/>
                <w:lang w:eastAsia="en-US"/>
              </w:rPr>
              <w:t>, Non- PP 94.7%</w:t>
            </w:r>
            <w:r>
              <w:rPr>
                <w:iCs/>
                <w:lang w:eastAsia="en-US"/>
              </w:rPr>
              <w:t xml:space="preserve"> (difference of -</w:t>
            </w:r>
            <w:r w:rsidR="002B6461">
              <w:rPr>
                <w:iCs/>
                <w:lang w:eastAsia="en-US"/>
              </w:rPr>
              <w:t>3.62</w:t>
            </w:r>
            <w:r>
              <w:rPr>
                <w:iCs/>
                <w:lang w:eastAsia="en-US"/>
              </w:rPr>
              <w:t xml:space="preserve">%). </w:t>
            </w:r>
            <w:r w:rsidRPr="002B6461">
              <w:rPr>
                <w:iCs/>
                <w:u w:val="single"/>
                <w:lang w:eastAsia="en-US"/>
              </w:rPr>
              <w:t>This remains a key focus for 2023-2024.</w:t>
            </w:r>
          </w:p>
          <w:p w14:paraId="4AFF6819" w14:textId="434952D6" w:rsidR="002B6461" w:rsidRDefault="002B6461" w:rsidP="00407BAD">
            <w:pPr>
              <w:spacing w:after="0"/>
              <w:rPr>
                <w:iCs/>
                <w:u w:val="single"/>
                <w:lang w:eastAsia="en-US"/>
              </w:rPr>
            </w:pPr>
          </w:p>
          <w:p w14:paraId="6EFBA7B8" w14:textId="77777777" w:rsidR="002B6461" w:rsidRPr="002B6461" w:rsidRDefault="002B6461" w:rsidP="00407BAD">
            <w:pPr>
              <w:spacing w:after="0"/>
              <w:rPr>
                <w:iCs/>
                <w:u w:val="single"/>
                <w:lang w:eastAsia="en-US"/>
              </w:rPr>
            </w:pPr>
          </w:p>
          <w:p w14:paraId="2A7D5546" w14:textId="7E79ECD7" w:rsidR="00842EE9" w:rsidRPr="00407BAD" w:rsidRDefault="00842EE9" w:rsidP="00407BAD">
            <w:pPr>
              <w:spacing w:after="0"/>
              <w:rPr>
                <w:iCs/>
                <w:lang w:eastAsia="en-US"/>
              </w:rPr>
            </w:pPr>
            <w:r>
              <w:rPr>
                <w:iCs/>
                <w:lang w:eastAsia="en-US"/>
              </w:rPr>
              <w:t xml:space="preserve">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6EF1B15" w:rsidR="00E66558" w:rsidRDefault="000A043E">
            <w:pPr>
              <w:pStyle w:val="TableRow"/>
            </w:pPr>
            <w:r>
              <w:t xml:space="preserve">Reading Plus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340604A" w:rsidR="00E66558" w:rsidRDefault="000A043E">
            <w:pPr>
              <w:pStyle w:val="TableRowCentered"/>
              <w:jc w:val="left"/>
            </w:pPr>
            <w:r>
              <w:t>Reading Plus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0EC4A765" w:rsidR="00E66558" w:rsidRDefault="006B257B">
            <w:pPr>
              <w:pStyle w:val="TableRow"/>
            </w:pPr>
            <w:r>
              <w:t>Times Tables Rockstars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4D709B2" w:rsidR="00E66558" w:rsidRDefault="006B257B">
            <w:pPr>
              <w:pStyle w:val="TableRowCentered"/>
              <w:jc w:val="left"/>
            </w:pPr>
            <w:r>
              <w:t>Maths Circle</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10C48" w14:textId="77777777" w:rsidR="006764C6" w:rsidRDefault="006764C6">
      <w:pPr>
        <w:spacing w:after="0" w:line="240" w:lineRule="auto"/>
      </w:pPr>
      <w:r>
        <w:separator/>
      </w:r>
    </w:p>
  </w:endnote>
  <w:endnote w:type="continuationSeparator" w:id="0">
    <w:p w14:paraId="1D7DAB33" w14:textId="77777777" w:rsidR="006764C6" w:rsidRDefault="0067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EEE05" w14:textId="77777777" w:rsidR="006764C6" w:rsidRDefault="006764C6">
      <w:pPr>
        <w:spacing w:after="0" w:line="240" w:lineRule="auto"/>
      </w:pPr>
      <w:r>
        <w:separator/>
      </w:r>
    </w:p>
  </w:footnote>
  <w:footnote w:type="continuationSeparator" w:id="0">
    <w:p w14:paraId="6697C495" w14:textId="77777777" w:rsidR="006764C6" w:rsidRDefault="00676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B522079"/>
    <w:multiLevelType w:val="hybridMultilevel"/>
    <w:tmpl w:val="EC2265B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0497FA1"/>
    <w:multiLevelType w:val="hybridMultilevel"/>
    <w:tmpl w:val="4A1A187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57232DB8"/>
    <w:multiLevelType w:val="hybridMultilevel"/>
    <w:tmpl w:val="6ECAA4C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652302F"/>
    <w:multiLevelType w:val="hybridMultilevel"/>
    <w:tmpl w:val="65D2923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9622D48"/>
    <w:multiLevelType w:val="hybridMultilevel"/>
    <w:tmpl w:val="A39E5A0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213196C"/>
    <w:multiLevelType w:val="hybridMultilevel"/>
    <w:tmpl w:val="D4C4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6C405DA"/>
    <w:multiLevelType w:val="hybridMultilevel"/>
    <w:tmpl w:val="4B62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673989">
    <w:abstractNumId w:val="3"/>
  </w:num>
  <w:num w:numId="2" w16cid:durableId="1301155709">
    <w:abstractNumId w:val="1"/>
  </w:num>
  <w:num w:numId="3" w16cid:durableId="151796860">
    <w:abstractNumId w:val="4"/>
  </w:num>
  <w:num w:numId="4" w16cid:durableId="1222445109">
    <w:abstractNumId w:val="6"/>
  </w:num>
  <w:num w:numId="5" w16cid:durableId="1764186277">
    <w:abstractNumId w:val="0"/>
  </w:num>
  <w:num w:numId="6" w16cid:durableId="2116367335">
    <w:abstractNumId w:val="7"/>
  </w:num>
  <w:num w:numId="7" w16cid:durableId="1712730546">
    <w:abstractNumId w:val="12"/>
  </w:num>
  <w:num w:numId="8" w16cid:durableId="608199730">
    <w:abstractNumId w:val="18"/>
  </w:num>
  <w:num w:numId="9" w16cid:durableId="1786801485">
    <w:abstractNumId w:val="15"/>
  </w:num>
  <w:num w:numId="10" w16cid:durableId="1392072453">
    <w:abstractNumId w:val="14"/>
  </w:num>
  <w:num w:numId="11" w16cid:durableId="155652359">
    <w:abstractNumId w:val="2"/>
  </w:num>
  <w:num w:numId="12" w16cid:durableId="1726291491">
    <w:abstractNumId w:val="16"/>
  </w:num>
  <w:num w:numId="13" w16cid:durableId="1300264831">
    <w:abstractNumId w:val="10"/>
  </w:num>
  <w:num w:numId="14" w16cid:durableId="1758478214">
    <w:abstractNumId w:val="9"/>
  </w:num>
  <w:num w:numId="15" w16cid:durableId="276715856">
    <w:abstractNumId w:val="11"/>
  </w:num>
  <w:num w:numId="16" w16cid:durableId="2109151522">
    <w:abstractNumId w:val="5"/>
  </w:num>
  <w:num w:numId="17" w16cid:durableId="2044359153">
    <w:abstractNumId w:val="13"/>
  </w:num>
  <w:num w:numId="18" w16cid:durableId="189999323">
    <w:abstractNumId w:val="17"/>
  </w:num>
  <w:num w:numId="19" w16cid:durableId="312106208">
    <w:abstractNumId w:val="19"/>
  </w:num>
  <w:num w:numId="20" w16cid:durableId="625964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3B4"/>
    <w:rsid w:val="00066B73"/>
    <w:rsid w:val="00072C1F"/>
    <w:rsid w:val="000A043E"/>
    <w:rsid w:val="000B5538"/>
    <w:rsid w:val="000B6666"/>
    <w:rsid w:val="00111847"/>
    <w:rsid w:val="00120AB1"/>
    <w:rsid w:val="00151B9B"/>
    <w:rsid w:val="00153065"/>
    <w:rsid w:val="001605E4"/>
    <w:rsid w:val="0018244B"/>
    <w:rsid w:val="00205AF1"/>
    <w:rsid w:val="00214D71"/>
    <w:rsid w:val="00220C10"/>
    <w:rsid w:val="002260C9"/>
    <w:rsid w:val="00227D9C"/>
    <w:rsid w:val="002B6461"/>
    <w:rsid w:val="00306594"/>
    <w:rsid w:val="00331C95"/>
    <w:rsid w:val="0033486C"/>
    <w:rsid w:val="00345691"/>
    <w:rsid w:val="00351092"/>
    <w:rsid w:val="0037437C"/>
    <w:rsid w:val="003C135D"/>
    <w:rsid w:val="00400CE9"/>
    <w:rsid w:val="004044AA"/>
    <w:rsid w:val="00405AA1"/>
    <w:rsid w:val="004062E1"/>
    <w:rsid w:val="00407BAD"/>
    <w:rsid w:val="00423482"/>
    <w:rsid w:val="004300F2"/>
    <w:rsid w:val="004479F6"/>
    <w:rsid w:val="00463AB7"/>
    <w:rsid w:val="00484021"/>
    <w:rsid w:val="00490760"/>
    <w:rsid w:val="004A1E75"/>
    <w:rsid w:val="004B5BBA"/>
    <w:rsid w:val="004C2BDD"/>
    <w:rsid w:val="004D6A61"/>
    <w:rsid w:val="004E3071"/>
    <w:rsid w:val="0050511F"/>
    <w:rsid w:val="00520546"/>
    <w:rsid w:val="005632A6"/>
    <w:rsid w:val="00585518"/>
    <w:rsid w:val="005874EA"/>
    <w:rsid w:val="00592A73"/>
    <w:rsid w:val="005B1549"/>
    <w:rsid w:val="005B3656"/>
    <w:rsid w:val="005C1DC4"/>
    <w:rsid w:val="005D5629"/>
    <w:rsid w:val="006032D1"/>
    <w:rsid w:val="00617F86"/>
    <w:rsid w:val="0062583E"/>
    <w:rsid w:val="00634238"/>
    <w:rsid w:val="00635FBC"/>
    <w:rsid w:val="00666F0C"/>
    <w:rsid w:val="006764C6"/>
    <w:rsid w:val="006B257B"/>
    <w:rsid w:val="006D2A68"/>
    <w:rsid w:val="006E616D"/>
    <w:rsid w:val="006E6B4A"/>
    <w:rsid w:val="006E7FB1"/>
    <w:rsid w:val="006F429B"/>
    <w:rsid w:val="00735678"/>
    <w:rsid w:val="00741B9E"/>
    <w:rsid w:val="00752A37"/>
    <w:rsid w:val="007A37D2"/>
    <w:rsid w:val="007C2F04"/>
    <w:rsid w:val="007C7DF6"/>
    <w:rsid w:val="00812436"/>
    <w:rsid w:val="0081523B"/>
    <w:rsid w:val="00842EE9"/>
    <w:rsid w:val="008432E1"/>
    <w:rsid w:val="0084519B"/>
    <w:rsid w:val="008C081D"/>
    <w:rsid w:val="008D59AF"/>
    <w:rsid w:val="00907B83"/>
    <w:rsid w:val="00932DCB"/>
    <w:rsid w:val="00932F6F"/>
    <w:rsid w:val="009513F3"/>
    <w:rsid w:val="0097186A"/>
    <w:rsid w:val="00972E57"/>
    <w:rsid w:val="009A5FF7"/>
    <w:rsid w:val="009D2052"/>
    <w:rsid w:val="009D71E8"/>
    <w:rsid w:val="00A0729D"/>
    <w:rsid w:val="00A64295"/>
    <w:rsid w:val="00A65C3C"/>
    <w:rsid w:val="00AB5FD3"/>
    <w:rsid w:val="00B02878"/>
    <w:rsid w:val="00BF5BDD"/>
    <w:rsid w:val="00C00588"/>
    <w:rsid w:val="00C20E21"/>
    <w:rsid w:val="00C249AC"/>
    <w:rsid w:val="00C471B7"/>
    <w:rsid w:val="00C7093B"/>
    <w:rsid w:val="00C74FFD"/>
    <w:rsid w:val="00C92EAD"/>
    <w:rsid w:val="00CA13BA"/>
    <w:rsid w:val="00CB1C6A"/>
    <w:rsid w:val="00CB6000"/>
    <w:rsid w:val="00CE6331"/>
    <w:rsid w:val="00CF0D7E"/>
    <w:rsid w:val="00D05761"/>
    <w:rsid w:val="00D06874"/>
    <w:rsid w:val="00D33FE5"/>
    <w:rsid w:val="00D5748D"/>
    <w:rsid w:val="00D7226E"/>
    <w:rsid w:val="00D9245A"/>
    <w:rsid w:val="00D93338"/>
    <w:rsid w:val="00DA33D6"/>
    <w:rsid w:val="00DE34F1"/>
    <w:rsid w:val="00E66558"/>
    <w:rsid w:val="00E75CF1"/>
    <w:rsid w:val="00EA27A5"/>
    <w:rsid w:val="00F3361B"/>
    <w:rsid w:val="00F67B0D"/>
    <w:rsid w:val="00F734FD"/>
    <w:rsid w:val="00F86856"/>
    <w:rsid w:val="00FB5C13"/>
    <w:rsid w:val="00FB6B8D"/>
    <w:rsid w:val="00FB7970"/>
    <w:rsid w:val="00FC0CC6"/>
    <w:rsid w:val="00FF2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678"/>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0B6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support-for-schools/school-improvement-planning/1-high-quality-teaching" TargetMode="External"/><Relationship Id="rId13" Type="http://schemas.openxmlformats.org/officeDocument/2006/relationships/hyperlink" Target="https://www.gov.uk/governmentpublications/schoolattendance/framework-for-securing-full-attendance-actions-for-schools-and-for-local-authoriti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ducationendowmentfoundation.org.uk/education-evidence/teaching-learning-toolkit/physical-activi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physical-activi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ducationendowmentfoundation.org.uk/education-evidence/teaching-learning-toolkit/phonics"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teaching-assistant-intervention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3032</Words>
  <Characters>17286</Characters>
  <Application>Microsoft Office Word</Application>
  <DocSecurity>0</DocSecurity>
  <Lines>144</Lines>
  <Paragraphs>40</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Pupil premium strategy statement</vt:lpstr>
      <vt:lpstr>Barley Mow Primary School- Pupil Premium Strategy Statement /</vt:lpstr>
      <vt:lpstr>    This statement details our school’s use of pupil premium (and recovery premium f</vt:lpstr>
      <vt:lpstr>    It outlines our pupil premium strategy, how we intend to spend the funding in th</vt:lpstr>
      <vt:lpstr>    School overview</vt:lpstr>
      <vt:lpstr>Part A: Pupil premium strategy plan</vt:lpstr>
      <vt:lpstr>    Statement of intent</vt:lpstr>
      <vt:lpstr>    Challenges</vt:lpstr>
      <vt:lpstr>This details the key challenges to achievement that we have identified among our</vt:lpstr>
      <vt:lpstr>    Intended outcomes </vt:lpstr>
      <vt:lpstr>    </vt:lpstr>
      <vt:lpstr>        Teaching (for example, CPD, recruitment and retention)</vt:lpstr>
      <vt:lpstr>    </vt:lpstr>
      <vt:lpstr>Part B: Review of outcomes in the previous academic year</vt:lpstr>
      <vt:lpstr>    Pupil premium strategy outcomes</vt:lpstr>
      <vt:lpstr>    Externally provided programmes</vt:lpstr>
      <vt:lpstr>    Service pupil premium funding (optional)</vt:lpstr>
      <vt:lpstr>Further information (optional)</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Nicola Watson</cp:lastModifiedBy>
  <cp:revision>4</cp:revision>
  <cp:lastPrinted>2023-10-02T05:36:00Z</cp:lastPrinted>
  <dcterms:created xsi:type="dcterms:W3CDTF">2023-12-07T07:26:00Z</dcterms:created>
  <dcterms:modified xsi:type="dcterms:W3CDTF">2023-12-07T07:33:00Z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