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81AE" w14:textId="77777777" w:rsidR="00CA3114" w:rsidRPr="00341ACA" w:rsidRDefault="00CA3114" w:rsidP="00CA3114">
      <w:pPr>
        <w:jc w:val="center"/>
        <w:rPr>
          <w:b/>
          <w:sz w:val="36"/>
          <w:u w:val="single"/>
          <w:lang w:val="en-US"/>
        </w:rPr>
      </w:pPr>
      <w:r w:rsidRPr="00CA3114">
        <w:rPr>
          <w:rFonts w:ascii="NTFPreCursivefk" w:hAnsi="NTFPreCursivefk"/>
          <w:noProof/>
          <w:sz w:val="40"/>
          <w:szCs w:val="40"/>
          <w:u w:val="single"/>
        </w:rPr>
        <w:drawing>
          <wp:anchor distT="0" distB="0" distL="114300" distR="114300" simplePos="0" relativeHeight="251660288" behindDoc="1" locked="0" layoutInCell="1" allowOverlap="1" wp14:anchorId="56A89364" wp14:editId="1C2B5380">
            <wp:simplePos x="0" y="0"/>
            <wp:positionH relativeFrom="margin">
              <wp:posOffset>8709660</wp:posOffset>
            </wp:positionH>
            <wp:positionV relativeFrom="page">
              <wp:posOffset>363220</wp:posOffset>
            </wp:positionV>
            <wp:extent cx="1143000" cy="1307465"/>
            <wp:effectExtent l="0" t="0" r="0" b="0"/>
            <wp:wrapTight wrapText="bothSides">
              <wp:wrapPolygon edited="0">
                <wp:start x="1080" y="4091"/>
                <wp:lineTo x="1080" y="11330"/>
                <wp:lineTo x="4680" y="14792"/>
                <wp:lineTo x="6480" y="14792"/>
                <wp:lineTo x="6480" y="16680"/>
                <wp:lineTo x="7920" y="18883"/>
                <wp:lineTo x="9720" y="19512"/>
                <wp:lineTo x="12600" y="19512"/>
                <wp:lineTo x="14400" y="18883"/>
                <wp:lineTo x="19440" y="15736"/>
                <wp:lineTo x="19440" y="11330"/>
                <wp:lineTo x="17640" y="9756"/>
                <wp:lineTo x="20520" y="6609"/>
                <wp:lineTo x="20520" y="5665"/>
                <wp:lineTo x="17280" y="4091"/>
                <wp:lineTo x="1080" y="4091"/>
              </wp:wrapPolygon>
            </wp:wrapTight>
            <wp:docPr id="2" name="Picture 2" descr="Barley Mow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ley Mow Primary 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034"/>
                    <a:stretch/>
                  </pic:blipFill>
                  <pic:spPr bwMode="auto">
                    <a:xfrm>
                      <a:off x="0" y="0"/>
                      <a:ext cx="114300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3114">
        <w:rPr>
          <w:rFonts w:ascii="NTFPreCursivefk" w:hAnsi="NTFPreCursivefk"/>
          <w:noProof/>
          <w:sz w:val="40"/>
          <w:szCs w:val="40"/>
          <w:u w:val="single"/>
        </w:rPr>
        <w:drawing>
          <wp:anchor distT="0" distB="0" distL="114300" distR="114300" simplePos="0" relativeHeight="251659264" behindDoc="1" locked="0" layoutInCell="1" allowOverlap="1" wp14:anchorId="452F05C1" wp14:editId="37FC960E">
            <wp:simplePos x="0" y="0"/>
            <wp:positionH relativeFrom="margin">
              <wp:posOffset>-76200</wp:posOffset>
            </wp:positionH>
            <wp:positionV relativeFrom="page">
              <wp:posOffset>294640</wp:posOffset>
            </wp:positionV>
            <wp:extent cx="1143000" cy="1307465"/>
            <wp:effectExtent l="0" t="0" r="0" b="0"/>
            <wp:wrapTight wrapText="bothSides">
              <wp:wrapPolygon edited="0">
                <wp:start x="1080" y="4091"/>
                <wp:lineTo x="1080" y="11330"/>
                <wp:lineTo x="4680" y="14792"/>
                <wp:lineTo x="6480" y="14792"/>
                <wp:lineTo x="6480" y="16680"/>
                <wp:lineTo x="7920" y="18883"/>
                <wp:lineTo x="9720" y="19512"/>
                <wp:lineTo x="12600" y="19512"/>
                <wp:lineTo x="14400" y="18883"/>
                <wp:lineTo x="19440" y="15736"/>
                <wp:lineTo x="19440" y="11330"/>
                <wp:lineTo x="17640" y="9756"/>
                <wp:lineTo x="20520" y="6609"/>
                <wp:lineTo x="20520" y="5665"/>
                <wp:lineTo x="17280" y="4091"/>
                <wp:lineTo x="1080" y="4091"/>
              </wp:wrapPolygon>
            </wp:wrapTight>
            <wp:docPr id="1" name="Picture 1" descr="Barley Mow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ley Mow Primary 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034"/>
                    <a:stretch/>
                  </pic:blipFill>
                  <pic:spPr bwMode="auto">
                    <a:xfrm>
                      <a:off x="0" y="0"/>
                      <a:ext cx="114300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ACA">
        <w:rPr>
          <w:b/>
          <w:sz w:val="36"/>
          <w:u w:val="single"/>
          <w:lang w:val="en-US"/>
        </w:rPr>
        <w:t>Barley Mow Primary School</w:t>
      </w:r>
    </w:p>
    <w:p w14:paraId="2F43E04E" w14:textId="77777777" w:rsidR="00CA3114" w:rsidRPr="00A8000A" w:rsidRDefault="00CA3114" w:rsidP="00CA3114">
      <w:pPr>
        <w:jc w:val="center"/>
        <w:rPr>
          <w:b/>
          <w:sz w:val="36"/>
          <w:u w:val="single"/>
          <w:lang w:val="en-US"/>
        </w:rPr>
      </w:pPr>
      <w:r>
        <w:rPr>
          <w:b/>
          <w:sz w:val="36"/>
          <w:u w:val="single"/>
          <w:lang w:val="en-US"/>
        </w:rPr>
        <w:t>PSHE</w:t>
      </w:r>
      <w:r w:rsidRPr="00341ACA">
        <w:rPr>
          <w:b/>
          <w:sz w:val="36"/>
          <w:u w:val="single"/>
          <w:lang w:val="en-US"/>
        </w:rPr>
        <w:t xml:space="preserve"> </w:t>
      </w:r>
      <w:r>
        <w:rPr>
          <w:b/>
          <w:sz w:val="36"/>
          <w:u w:val="single"/>
          <w:lang w:val="en-US"/>
        </w:rPr>
        <w:t>Long Term Plan</w:t>
      </w:r>
    </w:p>
    <w:tbl>
      <w:tblPr>
        <w:tblStyle w:val="TableGrid"/>
        <w:tblpPr w:leftFromText="180" w:rightFromText="180" w:vertAnchor="page" w:horzAnchor="margin" w:tblpXSpec="center" w:tblpY="2569"/>
        <w:tblW w:w="15367" w:type="dxa"/>
        <w:tblLook w:val="04A0" w:firstRow="1" w:lastRow="0" w:firstColumn="1" w:lastColumn="0" w:noHBand="0" w:noVBand="1"/>
      </w:tblPr>
      <w:tblGrid>
        <w:gridCol w:w="979"/>
        <w:gridCol w:w="2397"/>
        <w:gridCol w:w="2398"/>
        <w:gridCol w:w="2398"/>
        <w:gridCol w:w="2398"/>
        <w:gridCol w:w="2398"/>
        <w:gridCol w:w="2399"/>
      </w:tblGrid>
      <w:tr w:rsidR="003956CF" w:rsidRPr="0004255A" w14:paraId="596AD288" w14:textId="77777777" w:rsidTr="003956CF">
        <w:trPr>
          <w:trHeight w:val="841"/>
        </w:trPr>
        <w:tc>
          <w:tcPr>
            <w:tcW w:w="979" w:type="dxa"/>
          </w:tcPr>
          <w:p w14:paraId="5A00DFFC" w14:textId="77777777" w:rsidR="00CA3114" w:rsidRPr="0004255A" w:rsidRDefault="00CA3114" w:rsidP="00CA3114">
            <w:pPr>
              <w:jc w:val="center"/>
              <w:rPr>
                <w:rFonts w:ascii="NTFPreCursivefk" w:hAnsi="NTFPreCursivefk"/>
                <w:sz w:val="36"/>
                <w:lang w:val="en-US"/>
              </w:rPr>
            </w:pPr>
          </w:p>
        </w:tc>
        <w:tc>
          <w:tcPr>
            <w:tcW w:w="4795" w:type="dxa"/>
            <w:gridSpan w:val="2"/>
            <w:shd w:val="clear" w:color="auto" w:fill="ECF187"/>
          </w:tcPr>
          <w:p w14:paraId="6E9DA39B" w14:textId="77777777" w:rsidR="00CA3114" w:rsidRDefault="00CA3114" w:rsidP="00CA3114">
            <w:pPr>
              <w:jc w:val="center"/>
              <w:rPr>
                <w:rFonts w:ascii="NTFPreCursivefk" w:hAnsi="NTFPreCursivefk"/>
                <w:b/>
                <w:sz w:val="28"/>
                <w:szCs w:val="28"/>
                <w:lang w:val="en-US"/>
              </w:rPr>
            </w:pPr>
          </w:p>
          <w:p w14:paraId="309A6214" w14:textId="77777777" w:rsidR="00CA3114" w:rsidRPr="0004255A" w:rsidRDefault="00CA3114" w:rsidP="00CA3114">
            <w:pPr>
              <w:jc w:val="center"/>
              <w:rPr>
                <w:rFonts w:ascii="NTFPreCursivefk" w:hAnsi="NTFPreCursivefk"/>
                <w:b/>
                <w:sz w:val="28"/>
                <w:szCs w:val="28"/>
                <w:lang w:val="en-US"/>
              </w:rPr>
            </w:pPr>
            <w:r w:rsidRPr="0004255A">
              <w:rPr>
                <w:rFonts w:ascii="NTFPreCursivefk" w:hAnsi="NTFPreCursivefk"/>
                <w:b/>
                <w:sz w:val="28"/>
                <w:szCs w:val="28"/>
                <w:lang w:val="en-US"/>
              </w:rPr>
              <w:t xml:space="preserve">Autumn Term </w:t>
            </w:r>
          </w:p>
          <w:p w14:paraId="2DB15AFB" w14:textId="77777777" w:rsidR="00CA3114" w:rsidRPr="0004255A" w:rsidRDefault="00CA3114" w:rsidP="00CA3114">
            <w:pPr>
              <w:jc w:val="center"/>
              <w:rPr>
                <w:rFonts w:ascii="NTFPreCursivefk" w:hAnsi="NTFPreCursivefk"/>
                <w:b/>
                <w:sz w:val="28"/>
                <w:szCs w:val="28"/>
                <w:lang w:val="en-US"/>
              </w:rPr>
            </w:pPr>
          </w:p>
        </w:tc>
        <w:tc>
          <w:tcPr>
            <w:tcW w:w="4796" w:type="dxa"/>
            <w:gridSpan w:val="2"/>
            <w:shd w:val="clear" w:color="auto" w:fill="70AD47" w:themeFill="accent6"/>
          </w:tcPr>
          <w:p w14:paraId="07FC0E21" w14:textId="77777777" w:rsidR="00CA3114" w:rsidRDefault="00CA3114" w:rsidP="00CA3114">
            <w:pPr>
              <w:jc w:val="center"/>
              <w:rPr>
                <w:rFonts w:ascii="NTFPreCursivefk" w:hAnsi="NTFPreCursivefk"/>
                <w:b/>
                <w:sz w:val="28"/>
                <w:szCs w:val="28"/>
                <w:lang w:val="en-US"/>
              </w:rPr>
            </w:pPr>
          </w:p>
          <w:p w14:paraId="6BB6AB47" w14:textId="77777777" w:rsidR="00CA3114" w:rsidRPr="0004255A" w:rsidRDefault="00CA3114" w:rsidP="00CA3114">
            <w:pPr>
              <w:jc w:val="center"/>
              <w:rPr>
                <w:rFonts w:ascii="NTFPreCursivefk" w:hAnsi="NTFPreCursivefk"/>
                <w:b/>
                <w:sz w:val="28"/>
                <w:szCs w:val="28"/>
                <w:lang w:val="en-US"/>
              </w:rPr>
            </w:pPr>
            <w:r w:rsidRPr="0004255A">
              <w:rPr>
                <w:rFonts w:ascii="NTFPreCursivefk" w:hAnsi="NTFPreCursivefk"/>
                <w:b/>
                <w:sz w:val="28"/>
                <w:szCs w:val="28"/>
                <w:lang w:val="en-US"/>
              </w:rPr>
              <w:t xml:space="preserve">Spring Term </w:t>
            </w:r>
          </w:p>
          <w:p w14:paraId="59D5B1D6" w14:textId="77777777" w:rsidR="00CA3114" w:rsidRPr="0004255A" w:rsidRDefault="00CA3114" w:rsidP="00CA3114">
            <w:pPr>
              <w:jc w:val="center"/>
              <w:rPr>
                <w:rFonts w:ascii="NTFPreCursivefk" w:hAnsi="NTFPreCursivefk"/>
                <w:b/>
                <w:sz w:val="28"/>
                <w:szCs w:val="28"/>
                <w:lang w:val="en-US"/>
              </w:rPr>
            </w:pPr>
          </w:p>
        </w:tc>
        <w:tc>
          <w:tcPr>
            <w:tcW w:w="4796" w:type="dxa"/>
            <w:gridSpan w:val="2"/>
            <w:shd w:val="clear" w:color="auto" w:fill="5B9BD5" w:themeFill="accent5"/>
          </w:tcPr>
          <w:p w14:paraId="76144012" w14:textId="77777777" w:rsidR="00CA3114" w:rsidRDefault="00CA3114" w:rsidP="00CA3114">
            <w:pPr>
              <w:jc w:val="center"/>
              <w:rPr>
                <w:rFonts w:ascii="NTFPreCursivefk" w:hAnsi="NTFPreCursivefk"/>
                <w:b/>
                <w:sz w:val="28"/>
                <w:szCs w:val="28"/>
                <w:lang w:val="en-US"/>
              </w:rPr>
            </w:pPr>
          </w:p>
          <w:p w14:paraId="01EAF0DF" w14:textId="77777777" w:rsidR="00CA3114" w:rsidRPr="0004255A" w:rsidRDefault="00CA3114" w:rsidP="00CA3114">
            <w:pPr>
              <w:jc w:val="center"/>
              <w:rPr>
                <w:rFonts w:ascii="NTFPreCursivefk" w:hAnsi="NTFPreCursivefk"/>
                <w:b/>
                <w:sz w:val="28"/>
                <w:szCs w:val="28"/>
                <w:lang w:val="en-US"/>
              </w:rPr>
            </w:pPr>
            <w:r w:rsidRPr="0004255A">
              <w:rPr>
                <w:rFonts w:ascii="NTFPreCursivefk" w:hAnsi="NTFPreCursivefk"/>
                <w:b/>
                <w:sz w:val="28"/>
                <w:szCs w:val="28"/>
                <w:lang w:val="en-US"/>
              </w:rPr>
              <w:t xml:space="preserve">Summer Term </w:t>
            </w:r>
          </w:p>
          <w:p w14:paraId="2D275814" w14:textId="77777777" w:rsidR="00CA3114" w:rsidRPr="0004255A" w:rsidRDefault="00CA3114" w:rsidP="00CA3114">
            <w:pPr>
              <w:jc w:val="center"/>
              <w:rPr>
                <w:rFonts w:ascii="NTFPreCursivefk" w:hAnsi="NTFPreCursivefk"/>
                <w:b/>
                <w:sz w:val="28"/>
                <w:szCs w:val="28"/>
                <w:lang w:val="en-US"/>
              </w:rPr>
            </w:pPr>
          </w:p>
        </w:tc>
      </w:tr>
      <w:tr w:rsidR="00CA3114" w:rsidRPr="0004255A" w14:paraId="5D21BEDC" w14:textId="77777777" w:rsidTr="003956CF">
        <w:trPr>
          <w:trHeight w:val="862"/>
        </w:trPr>
        <w:tc>
          <w:tcPr>
            <w:tcW w:w="979" w:type="dxa"/>
            <w:vMerge w:val="restart"/>
          </w:tcPr>
          <w:p w14:paraId="721B7F06" w14:textId="77777777" w:rsidR="00CA3114" w:rsidRPr="0004255A" w:rsidRDefault="00CA3114" w:rsidP="00CA3114">
            <w:pPr>
              <w:jc w:val="center"/>
              <w:rPr>
                <w:rFonts w:ascii="NTFPreCursivefk" w:hAnsi="NTFPreCursivefk"/>
                <w:sz w:val="36"/>
                <w:lang w:val="en-US"/>
              </w:rPr>
            </w:pPr>
            <w:r>
              <w:rPr>
                <w:rFonts w:ascii="NTFPreCursivefk" w:hAnsi="NTFPreCursivefk"/>
                <w:sz w:val="36"/>
                <w:lang w:val="en-US"/>
              </w:rPr>
              <w:t>EYFS</w:t>
            </w:r>
          </w:p>
        </w:tc>
        <w:tc>
          <w:tcPr>
            <w:tcW w:w="2397" w:type="dxa"/>
            <w:shd w:val="clear" w:color="auto" w:fill="ECF187"/>
          </w:tcPr>
          <w:p w14:paraId="23E4FE4B" w14:textId="77777777" w:rsidR="00CA3114" w:rsidRPr="00CA3114" w:rsidRDefault="00CA3114" w:rsidP="00CA3114">
            <w:pPr>
              <w:pStyle w:val="NormalWeb"/>
              <w:spacing w:before="0" w:beforeAutospacing="0" w:after="0" w:afterAutospacing="0"/>
              <w:jc w:val="center"/>
              <w:rPr>
                <w:rFonts w:ascii="NTFPreCursivefk" w:hAnsi="NTFPreCursivefk" w:cs="Arial"/>
                <w:color w:val="000000" w:themeColor="text1"/>
                <w:sz w:val="32"/>
                <w:szCs w:val="32"/>
              </w:rPr>
            </w:pPr>
            <w:r w:rsidRPr="00CA3114">
              <w:rPr>
                <w:rFonts w:ascii="NTFPreCursivefk" w:hAnsi="NTFPreCursivefk" w:cs="Amatic SC"/>
                <w:bCs/>
                <w:color w:val="000000" w:themeColor="text1"/>
                <w:kern w:val="24"/>
                <w:sz w:val="32"/>
                <w:szCs w:val="32"/>
                <w:lang w:val="en-US"/>
              </w:rPr>
              <w:t>MY World and I</w:t>
            </w:r>
          </w:p>
        </w:tc>
        <w:tc>
          <w:tcPr>
            <w:tcW w:w="2398" w:type="dxa"/>
            <w:shd w:val="clear" w:color="auto" w:fill="ECF187"/>
          </w:tcPr>
          <w:p w14:paraId="22FC597E" w14:textId="77777777" w:rsidR="00CA3114" w:rsidRPr="00CA3114" w:rsidRDefault="00CA3114" w:rsidP="00CA3114">
            <w:pPr>
              <w:pStyle w:val="NormalWeb"/>
              <w:spacing w:before="0" w:beforeAutospacing="0" w:after="0" w:afterAutospacing="0"/>
              <w:jc w:val="center"/>
              <w:rPr>
                <w:rFonts w:ascii="NTFPreCursivefk" w:hAnsi="NTFPreCursivefk" w:cs="Arial"/>
                <w:color w:val="000000" w:themeColor="text1"/>
                <w:sz w:val="32"/>
                <w:szCs w:val="32"/>
              </w:rPr>
            </w:pPr>
            <w:r w:rsidRPr="00CA3114">
              <w:rPr>
                <w:rFonts w:ascii="NTFPreCursivefk" w:hAnsi="NTFPreCursivefk" w:cs="Amatic SC"/>
                <w:bCs/>
                <w:color w:val="000000" w:themeColor="text1"/>
                <w:kern w:val="24"/>
                <w:sz w:val="32"/>
                <w:szCs w:val="32"/>
                <w:lang w:val="en-US"/>
              </w:rPr>
              <w:t>Celebrations and Magic</w:t>
            </w:r>
          </w:p>
        </w:tc>
        <w:tc>
          <w:tcPr>
            <w:tcW w:w="2398" w:type="dxa"/>
            <w:shd w:val="clear" w:color="auto" w:fill="70AD47" w:themeFill="accent6"/>
          </w:tcPr>
          <w:p w14:paraId="4601ECDF" w14:textId="77777777" w:rsidR="00CA3114" w:rsidRPr="00CA3114" w:rsidRDefault="00CA3114" w:rsidP="00CA3114">
            <w:pPr>
              <w:pStyle w:val="NormalWeb"/>
              <w:spacing w:before="0" w:beforeAutospacing="0" w:after="0" w:afterAutospacing="0"/>
              <w:jc w:val="center"/>
              <w:rPr>
                <w:rFonts w:ascii="NTFPreCursivefk" w:hAnsi="NTFPreCursivefk" w:cs="Arial"/>
                <w:color w:val="000000" w:themeColor="text1"/>
                <w:sz w:val="32"/>
                <w:szCs w:val="32"/>
              </w:rPr>
            </w:pPr>
            <w:r w:rsidRPr="00CA3114">
              <w:rPr>
                <w:rFonts w:ascii="NTFPreCursivefk" w:hAnsi="NTFPreCursivefk" w:cs="Amatic SC"/>
                <w:bCs/>
                <w:color w:val="000000" w:themeColor="text1"/>
                <w:kern w:val="24"/>
                <w:sz w:val="32"/>
                <w:szCs w:val="32"/>
                <w:lang w:val="en-US"/>
              </w:rPr>
              <w:t>Traditional Tales</w:t>
            </w:r>
          </w:p>
        </w:tc>
        <w:tc>
          <w:tcPr>
            <w:tcW w:w="2398" w:type="dxa"/>
            <w:shd w:val="clear" w:color="auto" w:fill="70AD47" w:themeFill="accent6"/>
          </w:tcPr>
          <w:p w14:paraId="52E90665" w14:textId="77777777" w:rsidR="00CA3114" w:rsidRPr="00CA3114" w:rsidRDefault="00CA3114" w:rsidP="00CA3114">
            <w:pPr>
              <w:pStyle w:val="NormalWeb"/>
              <w:spacing w:before="0" w:beforeAutospacing="0" w:after="0" w:afterAutospacing="0"/>
              <w:jc w:val="center"/>
              <w:rPr>
                <w:rFonts w:ascii="NTFPreCursivefk" w:hAnsi="NTFPreCursivefk" w:cs="Arial"/>
                <w:color w:val="000000" w:themeColor="text1"/>
                <w:sz w:val="32"/>
                <w:szCs w:val="32"/>
              </w:rPr>
            </w:pPr>
            <w:r w:rsidRPr="00CA3114">
              <w:rPr>
                <w:rFonts w:ascii="NTFPreCursivefk" w:hAnsi="NTFPreCursivefk" w:cs="Amatic SC"/>
                <w:bCs/>
                <w:color w:val="000000" w:themeColor="text1"/>
                <w:kern w:val="24"/>
                <w:sz w:val="32"/>
                <w:szCs w:val="32"/>
                <w:lang w:val="en-US"/>
              </w:rPr>
              <w:t>I Wonder…</w:t>
            </w:r>
          </w:p>
        </w:tc>
        <w:tc>
          <w:tcPr>
            <w:tcW w:w="2398" w:type="dxa"/>
            <w:shd w:val="clear" w:color="auto" w:fill="5B9BD5" w:themeFill="accent5"/>
          </w:tcPr>
          <w:p w14:paraId="50A7334C" w14:textId="77777777" w:rsidR="00CA3114" w:rsidRPr="00CA3114" w:rsidRDefault="00CA3114" w:rsidP="00CA3114">
            <w:pPr>
              <w:pStyle w:val="NormalWeb"/>
              <w:spacing w:before="0" w:beforeAutospacing="0" w:after="0" w:afterAutospacing="0"/>
              <w:jc w:val="center"/>
              <w:rPr>
                <w:rFonts w:ascii="NTFPreCursivefk" w:hAnsi="NTFPreCursivefk" w:cs="Arial"/>
                <w:color w:val="000000" w:themeColor="text1"/>
                <w:sz w:val="32"/>
                <w:szCs w:val="32"/>
              </w:rPr>
            </w:pPr>
            <w:r w:rsidRPr="00CA3114">
              <w:rPr>
                <w:rFonts w:ascii="NTFPreCursivefk" w:hAnsi="NTFPreCursivefk" w:cs="Amatic SC"/>
                <w:bCs/>
                <w:color w:val="000000" w:themeColor="text1"/>
                <w:kern w:val="24"/>
                <w:sz w:val="32"/>
                <w:szCs w:val="32"/>
                <w:lang w:val="en-US"/>
              </w:rPr>
              <w:t>Nature explorers</w:t>
            </w:r>
          </w:p>
        </w:tc>
        <w:tc>
          <w:tcPr>
            <w:tcW w:w="2398" w:type="dxa"/>
            <w:shd w:val="clear" w:color="auto" w:fill="5B9BD5" w:themeFill="accent5"/>
          </w:tcPr>
          <w:p w14:paraId="3967C5F3" w14:textId="77777777" w:rsidR="00CA3114" w:rsidRPr="00CA3114" w:rsidRDefault="00CA3114" w:rsidP="00CA3114">
            <w:pPr>
              <w:pStyle w:val="NormalWeb"/>
              <w:spacing w:before="0" w:beforeAutospacing="0" w:after="0" w:afterAutospacing="0"/>
              <w:jc w:val="center"/>
              <w:rPr>
                <w:rFonts w:ascii="NTFPreCursivefk" w:hAnsi="NTFPreCursivefk" w:cs="Arial"/>
                <w:color w:val="000000" w:themeColor="text1"/>
                <w:sz w:val="32"/>
                <w:szCs w:val="32"/>
              </w:rPr>
            </w:pPr>
            <w:r w:rsidRPr="00CA3114">
              <w:rPr>
                <w:rFonts w:ascii="NTFPreCursivefk" w:hAnsi="NTFPreCursivefk" w:cs="Amatic SC"/>
                <w:bCs/>
                <w:color w:val="000000" w:themeColor="text1"/>
                <w:kern w:val="24"/>
                <w:sz w:val="32"/>
                <w:szCs w:val="32"/>
                <w:lang w:val="en-US"/>
              </w:rPr>
              <w:t>Out and about – Our Journey</w:t>
            </w:r>
          </w:p>
        </w:tc>
      </w:tr>
      <w:tr w:rsidR="00CA3114" w:rsidRPr="0004255A" w14:paraId="5286C8F7" w14:textId="77777777" w:rsidTr="003956CF">
        <w:trPr>
          <w:trHeight w:val="390"/>
        </w:trPr>
        <w:tc>
          <w:tcPr>
            <w:tcW w:w="979" w:type="dxa"/>
            <w:vMerge/>
          </w:tcPr>
          <w:p w14:paraId="72A3F7FA" w14:textId="77777777" w:rsidR="00CA3114" w:rsidRDefault="00CA3114" w:rsidP="00CA3114">
            <w:pPr>
              <w:jc w:val="center"/>
              <w:rPr>
                <w:rFonts w:ascii="NTFPreCursivefk" w:hAnsi="NTFPreCursivefk"/>
                <w:sz w:val="36"/>
                <w:lang w:val="en-US"/>
              </w:rPr>
            </w:pPr>
          </w:p>
        </w:tc>
        <w:tc>
          <w:tcPr>
            <w:tcW w:w="14388" w:type="dxa"/>
            <w:gridSpan w:val="6"/>
            <w:shd w:val="clear" w:color="auto" w:fill="ECF187"/>
          </w:tcPr>
          <w:p w14:paraId="176D2DE8" w14:textId="77777777" w:rsidR="00CA3114" w:rsidRPr="00CA3114" w:rsidRDefault="00CA3114" w:rsidP="00CA3114">
            <w:pPr>
              <w:pStyle w:val="NormalWeb"/>
              <w:spacing w:before="0" w:beforeAutospacing="0" w:after="0" w:afterAutospacing="0"/>
              <w:jc w:val="center"/>
              <w:rPr>
                <w:rFonts w:ascii="NTFPreCursivefk" w:hAnsi="NTFPreCursivefk" w:cs="Amatic SC"/>
                <w:bCs/>
                <w:color w:val="000000" w:themeColor="text1"/>
                <w:kern w:val="24"/>
                <w:sz w:val="32"/>
                <w:szCs w:val="32"/>
                <w:lang w:val="en-US"/>
              </w:rPr>
            </w:pPr>
            <w:r w:rsidRPr="00CA3114">
              <w:rPr>
                <w:rFonts w:ascii="NTFPreCursivefk" w:hAnsi="NTFPreCursivefk"/>
                <w:sz w:val="32"/>
                <w:szCs w:val="32"/>
              </w:rPr>
              <w:t xml:space="preserve">Ongoing through </w:t>
            </w:r>
            <w:r>
              <w:rPr>
                <w:rFonts w:ascii="NTFPreCursivefk" w:hAnsi="NTFPreCursivefk"/>
                <w:sz w:val="32"/>
                <w:szCs w:val="32"/>
              </w:rPr>
              <w:t xml:space="preserve">Personal, Social and Emotional </w:t>
            </w:r>
            <w:r w:rsidR="003956CF">
              <w:rPr>
                <w:rFonts w:ascii="NTFPreCursivefk" w:hAnsi="NTFPreCursivefk"/>
                <w:sz w:val="32"/>
                <w:szCs w:val="32"/>
              </w:rPr>
              <w:t>Development</w:t>
            </w:r>
            <w:r>
              <w:rPr>
                <w:rFonts w:ascii="NTFPreCursivefk" w:hAnsi="NTFPreCursivefk"/>
                <w:sz w:val="32"/>
                <w:szCs w:val="32"/>
              </w:rPr>
              <w:t>.</w:t>
            </w:r>
          </w:p>
        </w:tc>
      </w:tr>
      <w:tr w:rsidR="003956CF" w:rsidRPr="0004255A" w14:paraId="40AC7A76" w14:textId="77777777" w:rsidTr="003956CF">
        <w:trPr>
          <w:trHeight w:val="505"/>
        </w:trPr>
        <w:tc>
          <w:tcPr>
            <w:tcW w:w="979" w:type="dxa"/>
          </w:tcPr>
          <w:p w14:paraId="17D8819A" w14:textId="77777777" w:rsidR="00CA3114" w:rsidRPr="0004255A" w:rsidRDefault="00CA3114" w:rsidP="00CA3114">
            <w:pPr>
              <w:jc w:val="center"/>
              <w:rPr>
                <w:rFonts w:ascii="NTFPreCursivefk" w:hAnsi="NTFPreCursivefk"/>
                <w:b/>
                <w:sz w:val="24"/>
                <w:szCs w:val="24"/>
              </w:rPr>
            </w:pPr>
            <w:r w:rsidRPr="0004255A">
              <w:rPr>
                <w:rFonts w:ascii="NTFPreCursivefk" w:hAnsi="NTFPreCursivefk"/>
                <w:b/>
                <w:sz w:val="24"/>
                <w:szCs w:val="24"/>
              </w:rPr>
              <w:t>Year 1</w:t>
            </w:r>
          </w:p>
        </w:tc>
        <w:tc>
          <w:tcPr>
            <w:tcW w:w="4795" w:type="dxa"/>
            <w:gridSpan w:val="2"/>
            <w:shd w:val="clear" w:color="auto" w:fill="FAFBE1"/>
          </w:tcPr>
          <w:p w14:paraId="67F0AA90" w14:textId="77777777" w:rsidR="00CA3114" w:rsidRPr="005F13F2" w:rsidRDefault="00CA3114" w:rsidP="00CA3114">
            <w:pPr>
              <w:autoSpaceDE w:val="0"/>
              <w:autoSpaceDN w:val="0"/>
              <w:adjustRightInd w:val="0"/>
              <w:jc w:val="center"/>
              <w:rPr>
                <w:rFonts w:ascii="NTFPreCursivefk" w:hAnsi="NTFPreCursivefk"/>
                <w:sz w:val="32"/>
                <w:szCs w:val="32"/>
              </w:rPr>
            </w:pPr>
            <w:r w:rsidRPr="005F13F2">
              <w:rPr>
                <w:rFonts w:ascii="NTFPreCursivefk" w:hAnsi="NTFPreCursivefk"/>
                <w:sz w:val="32"/>
                <w:szCs w:val="32"/>
              </w:rPr>
              <w:t>Families and relationships</w:t>
            </w:r>
          </w:p>
          <w:p w14:paraId="16CC4A4E" w14:textId="77777777" w:rsidR="00CA3114" w:rsidRPr="005F13F2" w:rsidRDefault="00CA3114" w:rsidP="00CA3114">
            <w:pPr>
              <w:jc w:val="center"/>
              <w:rPr>
                <w:rFonts w:ascii="NTFPreCursivefk" w:hAnsi="NTFPreCursivefk"/>
                <w:sz w:val="32"/>
                <w:szCs w:val="32"/>
              </w:rPr>
            </w:pPr>
            <w:r w:rsidRPr="005F13F2">
              <w:rPr>
                <w:rFonts w:ascii="NTFPreCursivefk" w:hAnsi="NTFPreCursivefk"/>
                <w:sz w:val="32"/>
                <w:szCs w:val="32"/>
              </w:rPr>
              <w:t>Health and wellbeing</w:t>
            </w:r>
          </w:p>
        </w:tc>
        <w:tc>
          <w:tcPr>
            <w:tcW w:w="4796" w:type="dxa"/>
            <w:gridSpan w:val="2"/>
            <w:shd w:val="clear" w:color="auto" w:fill="E2EFD9" w:themeFill="accent6" w:themeFillTint="33"/>
          </w:tcPr>
          <w:p w14:paraId="364B4CB5" w14:textId="77777777" w:rsidR="00CA3114" w:rsidRDefault="00CA3114" w:rsidP="00CA3114">
            <w:pPr>
              <w:autoSpaceDE w:val="0"/>
              <w:autoSpaceDN w:val="0"/>
              <w:adjustRightInd w:val="0"/>
              <w:jc w:val="center"/>
              <w:rPr>
                <w:rFonts w:ascii="NTFPreCursivefk" w:hAnsi="NTFPreCursivefk" w:cs="Lato-Bold"/>
                <w:bCs/>
                <w:sz w:val="32"/>
                <w:szCs w:val="32"/>
              </w:rPr>
            </w:pPr>
            <w:r w:rsidRPr="005F13F2">
              <w:rPr>
                <w:rFonts w:ascii="NTFPreCursivefk" w:hAnsi="NTFPreCursivefk"/>
                <w:sz w:val="32"/>
                <w:szCs w:val="32"/>
              </w:rPr>
              <w:t>Health and wellbeing</w:t>
            </w:r>
          </w:p>
          <w:p w14:paraId="01CA8257" w14:textId="77777777" w:rsidR="00CA3114" w:rsidRPr="003956CF" w:rsidRDefault="00CA3114" w:rsidP="003956CF">
            <w:pPr>
              <w:autoSpaceDE w:val="0"/>
              <w:autoSpaceDN w:val="0"/>
              <w:adjustRightInd w:val="0"/>
              <w:jc w:val="center"/>
              <w:rPr>
                <w:rFonts w:ascii="NTFPreCursivefk" w:hAnsi="NTFPreCursivefk" w:cs="Lato-Bold"/>
                <w:bCs/>
                <w:sz w:val="32"/>
                <w:szCs w:val="32"/>
              </w:rPr>
            </w:pPr>
            <w:r w:rsidRPr="005F13F2">
              <w:rPr>
                <w:rFonts w:ascii="NTFPreCursivefk" w:hAnsi="NTFPreCursivefk" w:cs="Lato-Bold"/>
                <w:bCs/>
                <w:sz w:val="32"/>
                <w:szCs w:val="32"/>
              </w:rPr>
              <w:t>Safety and the changing body</w:t>
            </w:r>
          </w:p>
        </w:tc>
        <w:tc>
          <w:tcPr>
            <w:tcW w:w="4796" w:type="dxa"/>
            <w:gridSpan w:val="2"/>
            <w:shd w:val="clear" w:color="auto" w:fill="DEEAF6" w:themeFill="accent5" w:themeFillTint="33"/>
          </w:tcPr>
          <w:p w14:paraId="50F6FB20" w14:textId="77777777" w:rsidR="00CA3114" w:rsidRDefault="00CA3114" w:rsidP="00CA3114">
            <w:pPr>
              <w:jc w:val="center"/>
              <w:rPr>
                <w:rFonts w:ascii="NTFPreCursivefk" w:hAnsi="NTFPreCursivefk"/>
                <w:sz w:val="32"/>
                <w:szCs w:val="32"/>
              </w:rPr>
            </w:pPr>
            <w:r w:rsidRPr="005F13F2">
              <w:rPr>
                <w:rFonts w:ascii="NTFPreCursivefk" w:hAnsi="NTFPreCursivefk"/>
                <w:sz w:val="32"/>
                <w:szCs w:val="32"/>
              </w:rPr>
              <w:t>Citizenship</w:t>
            </w:r>
          </w:p>
          <w:p w14:paraId="2E0CEB52" w14:textId="77777777" w:rsidR="00CA3114" w:rsidRPr="003956CF" w:rsidRDefault="00CA3114" w:rsidP="003956CF">
            <w:pPr>
              <w:jc w:val="center"/>
              <w:rPr>
                <w:rFonts w:ascii="NTFPreCursivefk" w:hAnsi="NTFPreCursivefk"/>
                <w:sz w:val="32"/>
                <w:szCs w:val="32"/>
              </w:rPr>
            </w:pPr>
            <w:r w:rsidRPr="005F13F2">
              <w:rPr>
                <w:rFonts w:ascii="NTFPreCursivefk" w:hAnsi="NTFPreCursivefk"/>
                <w:sz w:val="32"/>
                <w:szCs w:val="32"/>
              </w:rPr>
              <w:t>Economic wellbeing</w:t>
            </w:r>
          </w:p>
        </w:tc>
      </w:tr>
      <w:tr w:rsidR="003956CF" w:rsidRPr="0004255A" w14:paraId="322BEBB7" w14:textId="77777777" w:rsidTr="003956CF">
        <w:trPr>
          <w:trHeight w:val="505"/>
        </w:trPr>
        <w:tc>
          <w:tcPr>
            <w:tcW w:w="979" w:type="dxa"/>
          </w:tcPr>
          <w:p w14:paraId="33E2DA42" w14:textId="77777777" w:rsidR="00CA3114" w:rsidRPr="0004255A" w:rsidRDefault="00CA3114" w:rsidP="00CA3114">
            <w:pPr>
              <w:jc w:val="center"/>
              <w:rPr>
                <w:rFonts w:ascii="NTFPreCursivefk" w:hAnsi="NTFPreCursivefk"/>
                <w:b/>
                <w:sz w:val="24"/>
                <w:szCs w:val="24"/>
              </w:rPr>
            </w:pPr>
            <w:r w:rsidRPr="0004255A">
              <w:rPr>
                <w:rFonts w:ascii="NTFPreCursivefk" w:hAnsi="NTFPreCursivefk"/>
                <w:b/>
                <w:sz w:val="24"/>
                <w:szCs w:val="24"/>
              </w:rPr>
              <w:t xml:space="preserve">Year </w:t>
            </w:r>
            <w:r>
              <w:rPr>
                <w:rFonts w:ascii="NTFPreCursivefk" w:hAnsi="NTFPreCursivefk"/>
                <w:b/>
                <w:sz w:val="24"/>
                <w:szCs w:val="24"/>
              </w:rPr>
              <w:t>2</w:t>
            </w:r>
          </w:p>
        </w:tc>
        <w:tc>
          <w:tcPr>
            <w:tcW w:w="4795" w:type="dxa"/>
            <w:gridSpan w:val="2"/>
            <w:shd w:val="clear" w:color="auto" w:fill="FAFBE1"/>
          </w:tcPr>
          <w:p w14:paraId="20DBE434" w14:textId="77777777" w:rsidR="00CA3114" w:rsidRPr="005F13F2" w:rsidRDefault="00CA3114" w:rsidP="00CA3114">
            <w:pPr>
              <w:autoSpaceDE w:val="0"/>
              <w:autoSpaceDN w:val="0"/>
              <w:adjustRightInd w:val="0"/>
              <w:jc w:val="center"/>
              <w:rPr>
                <w:rFonts w:ascii="NTFPreCursivefk" w:hAnsi="NTFPreCursivefk"/>
                <w:sz w:val="32"/>
                <w:szCs w:val="32"/>
              </w:rPr>
            </w:pPr>
            <w:r w:rsidRPr="005F13F2">
              <w:rPr>
                <w:rFonts w:ascii="NTFPreCursivefk" w:hAnsi="NTFPreCursivefk"/>
                <w:sz w:val="32"/>
                <w:szCs w:val="32"/>
              </w:rPr>
              <w:t>Families and relationships</w:t>
            </w:r>
          </w:p>
          <w:p w14:paraId="2ECE6AA5" w14:textId="77777777" w:rsidR="00CA3114" w:rsidRPr="005F13F2" w:rsidRDefault="00CA3114" w:rsidP="00CA3114">
            <w:pPr>
              <w:jc w:val="center"/>
              <w:rPr>
                <w:rFonts w:ascii="NTFPreCursivefk" w:hAnsi="NTFPreCursivefk"/>
                <w:sz w:val="32"/>
                <w:szCs w:val="32"/>
              </w:rPr>
            </w:pPr>
            <w:r w:rsidRPr="005F13F2">
              <w:rPr>
                <w:rFonts w:ascii="NTFPreCursivefk" w:hAnsi="NTFPreCursivefk"/>
                <w:sz w:val="32"/>
                <w:szCs w:val="32"/>
              </w:rPr>
              <w:t>Health and wellbeing</w:t>
            </w:r>
          </w:p>
        </w:tc>
        <w:tc>
          <w:tcPr>
            <w:tcW w:w="4796" w:type="dxa"/>
            <w:gridSpan w:val="2"/>
            <w:shd w:val="clear" w:color="auto" w:fill="E2EFD9" w:themeFill="accent6" w:themeFillTint="33"/>
          </w:tcPr>
          <w:p w14:paraId="3FDE07EB" w14:textId="77777777" w:rsidR="00CA3114" w:rsidRDefault="00CA3114" w:rsidP="00CA3114">
            <w:pPr>
              <w:autoSpaceDE w:val="0"/>
              <w:autoSpaceDN w:val="0"/>
              <w:adjustRightInd w:val="0"/>
              <w:jc w:val="center"/>
              <w:rPr>
                <w:rFonts w:ascii="NTFPreCursivefk" w:hAnsi="NTFPreCursivefk" w:cs="Lato-Bold"/>
                <w:bCs/>
                <w:sz w:val="32"/>
                <w:szCs w:val="32"/>
              </w:rPr>
            </w:pPr>
            <w:r w:rsidRPr="005F13F2">
              <w:rPr>
                <w:rFonts w:ascii="NTFPreCursivefk" w:hAnsi="NTFPreCursivefk"/>
                <w:sz w:val="32"/>
                <w:szCs w:val="32"/>
              </w:rPr>
              <w:t>Health and wellbeing</w:t>
            </w:r>
          </w:p>
          <w:p w14:paraId="43E2A341" w14:textId="77777777" w:rsidR="00CA3114" w:rsidRPr="003956CF" w:rsidRDefault="00CA3114" w:rsidP="003956CF">
            <w:pPr>
              <w:autoSpaceDE w:val="0"/>
              <w:autoSpaceDN w:val="0"/>
              <w:adjustRightInd w:val="0"/>
              <w:jc w:val="center"/>
              <w:rPr>
                <w:rFonts w:ascii="NTFPreCursivefk" w:hAnsi="NTFPreCursivefk" w:cs="Lato-Bold"/>
                <w:bCs/>
                <w:sz w:val="32"/>
                <w:szCs w:val="32"/>
              </w:rPr>
            </w:pPr>
            <w:r w:rsidRPr="005F13F2">
              <w:rPr>
                <w:rFonts w:ascii="NTFPreCursivefk" w:hAnsi="NTFPreCursivefk" w:cs="Lato-Bold"/>
                <w:bCs/>
                <w:sz w:val="32"/>
                <w:szCs w:val="32"/>
              </w:rPr>
              <w:t>Safety and the changing body</w:t>
            </w:r>
          </w:p>
        </w:tc>
        <w:tc>
          <w:tcPr>
            <w:tcW w:w="4796" w:type="dxa"/>
            <w:gridSpan w:val="2"/>
            <w:shd w:val="clear" w:color="auto" w:fill="DEEAF6" w:themeFill="accent5" w:themeFillTint="33"/>
          </w:tcPr>
          <w:p w14:paraId="689DC921" w14:textId="77777777" w:rsidR="00CA3114" w:rsidRDefault="00CA3114" w:rsidP="00CA3114">
            <w:pPr>
              <w:jc w:val="center"/>
              <w:rPr>
                <w:rFonts w:ascii="NTFPreCursivefk" w:hAnsi="NTFPreCursivefk"/>
                <w:sz w:val="32"/>
                <w:szCs w:val="32"/>
              </w:rPr>
            </w:pPr>
            <w:r w:rsidRPr="005F13F2">
              <w:rPr>
                <w:rFonts w:ascii="NTFPreCursivefk" w:hAnsi="NTFPreCursivefk"/>
                <w:sz w:val="32"/>
                <w:szCs w:val="32"/>
              </w:rPr>
              <w:t>Citizenship</w:t>
            </w:r>
          </w:p>
          <w:p w14:paraId="0839F300" w14:textId="77777777" w:rsidR="00CA3114" w:rsidRPr="003956CF" w:rsidRDefault="00CA3114" w:rsidP="003956CF">
            <w:pPr>
              <w:jc w:val="center"/>
              <w:rPr>
                <w:rFonts w:ascii="NTFPreCursivefk" w:hAnsi="NTFPreCursivefk"/>
                <w:sz w:val="32"/>
                <w:szCs w:val="32"/>
              </w:rPr>
            </w:pPr>
            <w:r w:rsidRPr="005F13F2">
              <w:rPr>
                <w:rFonts w:ascii="NTFPreCursivefk" w:hAnsi="NTFPreCursivefk"/>
                <w:sz w:val="32"/>
                <w:szCs w:val="32"/>
              </w:rPr>
              <w:t>Economic wellbeing</w:t>
            </w:r>
          </w:p>
        </w:tc>
      </w:tr>
      <w:tr w:rsidR="003956CF" w:rsidRPr="0004255A" w14:paraId="31F7650E" w14:textId="77777777" w:rsidTr="003956CF">
        <w:trPr>
          <w:trHeight w:val="505"/>
        </w:trPr>
        <w:tc>
          <w:tcPr>
            <w:tcW w:w="979" w:type="dxa"/>
          </w:tcPr>
          <w:p w14:paraId="59FEA578" w14:textId="77777777" w:rsidR="00CA3114" w:rsidRPr="0004255A" w:rsidRDefault="00CA3114" w:rsidP="00CA3114">
            <w:pPr>
              <w:jc w:val="center"/>
              <w:rPr>
                <w:rFonts w:ascii="NTFPreCursivefk" w:hAnsi="NTFPreCursivefk"/>
                <w:b/>
                <w:sz w:val="24"/>
                <w:szCs w:val="24"/>
              </w:rPr>
            </w:pPr>
            <w:r w:rsidRPr="0004255A">
              <w:rPr>
                <w:rFonts w:ascii="NTFPreCursivefk" w:hAnsi="NTFPreCursivefk"/>
                <w:b/>
                <w:sz w:val="24"/>
                <w:szCs w:val="24"/>
              </w:rPr>
              <w:t xml:space="preserve">Year </w:t>
            </w:r>
            <w:r>
              <w:rPr>
                <w:rFonts w:ascii="NTFPreCursivefk" w:hAnsi="NTFPreCursivefk"/>
                <w:b/>
                <w:sz w:val="24"/>
                <w:szCs w:val="24"/>
              </w:rPr>
              <w:t>3</w:t>
            </w:r>
          </w:p>
        </w:tc>
        <w:tc>
          <w:tcPr>
            <w:tcW w:w="4795" w:type="dxa"/>
            <w:gridSpan w:val="2"/>
            <w:shd w:val="clear" w:color="auto" w:fill="FAFBE1"/>
          </w:tcPr>
          <w:p w14:paraId="191ECC34" w14:textId="77777777" w:rsidR="00CA3114" w:rsidRPr="005F13F2" w:rsidRDefault="00CA3114" w:rsidP="00CA3114">
            <w:pPr>
              <w:autoSpaceDE w:val="0"/>
              <w:autoSpaceDN w:val="0"/>
              <w:adjustRightInd w:val="0"/>
              <w:jc w:val="center"/>
              <w:rPr>
                <w:rFonts w:ascii="NTFPreCursivefk" w:hAnsi="NTFPreCursivefk"/>
                <w:sz w:val="32"/>
                <w:szCs w:val="32"/>
              </w:rPr>
            </w:pPr>
            <w:r w:rsidRPr="005F13F2">
              <w:rPr>
                <w:rFonts w:ascii="NTFPreCursivefk" w:hAnsi="NTFPreCursivefk"/>
                <w:sz w:val="32"/>
                <w:szCs w:val="32"/>
              </w:rPr>
              <w:t>Families and relationships</w:t>
            </w:r>
          </w:p>
          <w:p w14:paraId="4D8CB80A" w14:textId="77777777" w:rsidR="00CA3114" w:rsidRPr="005F13F2" w:rsidRDefault="00CA3114" w:rsidP="00CA3114">
            <w:pPr>
              <w:jc w:val="center"/>
              <w:rPr>
                <w:rFonts w:ascii="NTFPreCursivefk" w:hAnsi="NTFPreCursivefk"/>
                <w:sz w:val="32"/>
                <w:szCs w:val="32"/>
              </w:rPr>
            </w:pPr>
            <w:r w:rsidRPr="005F13F2">
              <w:rPr>
                <w:rFonts w:ascii="NTFPreCursivefk" w:hAnsi="NTFPreCursivefk"/>
                <w:sz w:val="32"/>
                <w:szCs w:val="32"/>
              </w:rPr>
              <w:t>Health and wellbeing</w:t>
            </w:r>
          </w:p>
        </w:tc>
        <w:tc>
          <w:tcPr>
            <w:tcW w:w="4796" w:type="dxa"/>
            <w:gridSpan w:val="2"/>
            <w:shd w:val="clear" w:color="auto" w:fill="E2EFD9" w:themeFill="accent6" w:themeFillTint="33"/>
          </w:tcPr>
          <w:p w14:paraId="2A7D269C" w14:textId="77777777" w:rsidR="00CA3114" w:rsidRDefault="00CA3114" w:rsidP="00CA3114">
            <w:pPr>
              <w:autoSpaceDE w:val="0"/>
              <w:autoSpaceDN w:val="0"/>
              <w:adjustRightInd w:val="0"/>
              <w:jc w:val="center"/>
              <w:rPr>
                <w:rFonts w:ascii="NTFPreCursivefk" w:hAnsi="NTFPreCursivefk" w:cs="Lato-Bold"/>
                <w:bCs/>
                <w:sz w:val="32"/>
                <w:szCs w:val="32"/>
              </w:rPr>
            </w:pPr>
            <w:r w:rsidRPr="005F13F2">
              <w:rPr>
                <w:rFonts w:ascii="NTFPreCursivefk" w:hAnsi="NTFPreCursivefk"/>
                <w:sz w:val="32"/>
                <w:szCs w:val="32"/>
              </w:rPr>
              <w:t>Health and wellbeing</w:t>
            </w:r>
          </w:p>
          <w:p w14:paraId="1E3EF362" w14:textId="77777777" w:rsidR="00CA3114" w:rsidRPr="003956CF" w:rsidRDefault="00CA3114" w:rsidP="003956CF">
            <w:pPr>
              <w:autoSpaceDE w:val="0"/>
              <w:autoSpaceDN w:val="0"/>
              <w:adjustRightInd w:val="0"/>
              <w:jc w:val="center"/>
              <w:rPr>
                <w:rFonts w:ascii="NTFPreCursivefk" w:hAnsi="NTFPreCursivefk" w:cs="Lato-Bold"/>
                <w:bCs/>
                <w:sz w:val="32"/>
                <w:szCs w:val="32"/>
              </w:rPr>
            </w:pPr>
            <w:r w:rsidRPr="005F13F2">
              <w:rPr>
                <w:rFonts w:ascii="NTFPreCursivefk" w:hAnsi="NTFPreCursivefk" w:cs="Lato-Bold"/>
                <w:bCs/>
                <w:sz w:val="32"/>
                <w:szCs w:val="32"/>
              </w:rPr>
              <w:t>Safety and the changing body</w:t>
            </w:r>
          </w:p>
        </w:tc>
        <w:tc>
          <w:tcPr>
            <w:tcW w:w="4796" w:type="dxa"/>
            <w:gridSpan w:val="2"/>
            <w:shd w:val="clear" w:color="auto" w:fill="DEEAF6" w:themeFill="accent5" w:themeFillTint="33"/>
          </w:tcPr>
          <w:p w14:paraId="700BBFBB" w14:textId="77777777" w:rsidR="00CA3114" w:rsidRDefault="00CA3114" w:rsidP="00CA3114">
            <w:pPr>
              <w:jc w:val="center"/>
              <w:rPr>
                <w:rFonts w:ascii="NTFPreCursivefk" w:hAnsi="NTFPreCursivefk"/>
                <w:sz w:val="32"/>
                <w:szCs w:val="32"/>
              </w:rPr>
            </w:pPr>
            <w:r w:rsidRPr="005F13F2">
              <w:rPr>
                <w:rFonts w:ascii="NTFPreCursivefk" w:hAnsi="NTFPreCursivefk"/>
                <w:sz w:val="32"/>
                <w:szCs w:val="32"/>
              </w:rPr>
              <w:t>Citizenship</w:t>
            </w:r>
          </w:p>
          <w:p w14:paraId="0DC74D91" w14:textId="77777777" w:rsidR="00CA3114" w:rsidRPr="003956CF" w:rsidRDefault="00CA3114" w:rsidP="003956CF">
            <w:pPr>
              <w:jc w:val="center"/>
              <w:rPr>
                <w:rFonts w:ascii="NTFPreCursivefk" w:hAnsi="NTFPreCursivefk"/>
                <w:sz w:val="32"/>
                <w:szCs w:val="32"/>
              </w:rPr>
            </w:pPr>
            <w:r w:rsidRPr="005F13F2">
              <w:rPr>
                <w:rFonts w:ascii="NTFPreCursivefk" w:hAnsi="NTFPreCursivefk"/>
                <w:sz w:val="32"/>
                <w:szCs w:val="32"/>
              </w:rPr>
              <w:t>Economic wellbeing</w:t>
            </w:r>
          </w:p>
        </w:tc>
      </w:tr>
      <w:tr w:rsidR="003956CF" w:rsidRPr="0004255A" w14:paraId="4D77AC85" w14:textId="77777777" w:rsidTr="003956CF">
        <w:trPr>
          <w:trHeight w:val="505"/>
        </w:trPr>
        <w:tc>
          <w:tcPr>
            <w:tcW w:w="979" w:type="dxa"/>
          </w:tcPr>
          <w:p w14:paraId="7AEC9875" w14:textId="77777777" w:rsidR="00CA3114" w:rsidRPr="0004255A" w:rsidRDefault="00CA3114" w:rsidP="00CA3114">
            <w:pPr>
              <w:jc w:val="center"/>
              <w:rPr>
                <w:rFonts w:ascii="NTFPreCursivefk" w:hAnsi="NTFPreCursivefk"/>
                <w:b/>
                <w:sz w:val="24"/>
                <w:szCs w:val="24"/>
              </w:rPr>
            </w:pPr>
            <w:r w:rsidRPr="0004255A">
              <w:rPr>
                <w:rFonts w:ascii="NTFPreCursivefk" w:hAnsi="NTFPreCursivefk"/>
                <w:b/>
                <w:sz w:val="24"/>
                <w:szCs w:val="24"/>
              </w:rPr>
              <w:t xml:space="preserve">Year </w:t>
            </w:r>
            <w:r>
              <w:rPr>
                <w:rFonts w:ascii="NTFPreCursivefk" w:hAnsi="NTFPreCursivefk"/>
                <w:b/>
                <w:sz w:val="24"/>
                <w:szCs w:val="24"/>
              </w:rPr>
              <w:t>4</w:t>
            </w:r>
          </w:p>
        </w:tc>
        <w:tc>
          <w:tcPr>
            <w:tcW w:w="4795" w:type="dxa"/>
            <w:gridSpan w:val="2"/>
            <w:shd w:val="clear" w:color="auto" w:fill="FAFBE1"/>
          </w:tcPr>
          <w:p w14:paraId="61A1C08E" w14:textId="77777777" w:rsidR="00CA3114" w:rsidRPr="005F13F2" w:rsidRDefault="00CA3114" w:rsidP="00CA3114">
            <w:pPr>
              <w:autoSpaceDE w:val="0"/>
              <w:autoSpaceDN w:val="0"/>
              <w:adjustRightInd w:val="0"/>
              <w:jc w:val="center"/>
              <w:rPr>
                <w:rFonts w:ascii="NTFPreCursivefk" w:hAnsi="NTFPreCursivefk"/>
                <w:sz w:val="32"/>
                <w:szCs w:val="32"/>
              </w:rPr>
            </w:pPr>
            <w:r w:rsidRPr="005F13F2">
              <w:rPr>
                <w:rFonts w:ascii="NTFPreCursivefk" w:hAnsi="NTFPreCursivefk"/>
                <w:sz w:val="32"/>
                <w:szCs w:val="32"/>
              </w:rPr>
              <w:t>Families and relationships</w:t>
            </w:r>
          </w:p>
          <w:p w14:paraId="1564F1C3" w14:textId="77777777" w:rsidR="00CA3114" w:rsidRPr="005F13F2" w:rsidRDefault="00CA3114" w:rsidP="00CA3114">
            <w:pPr>
              <w:jc w:val="center"/>
              <w:rPr>
                <w:rFonts w:ascii="NTFPreCursivefk" w:hAnsi="NTFPreCursivefk"/>
                <w:sz w:val="32"/>
                <w:szCs w:val="32"/>
              </w:rPr>
            </w:pPr>
            <w:r w:rsidRPr="005F13F2">
              <w:rPr>
                <w:rFonts w:ascii="NTFPreCursivefk" w:hAnsi="NTFPreCursivefk"/>
                <w:sz w:val="32"/>
                <w:szCs w:val="32"/>
              </w:rPr>
              <w:t>Health and wellbeing</w:t>
            </w:r>
          </w:p>
        </w:tc>
        <w:tc>
          <w:tcPr>
            <w:tcW w:w="4796" w:type="dxa"/>
            <w:gridSpan w:val="2"/>
            <w:shd w:val="clear" w:color="auto" w:fill="E2EFD9" w:themeFill="accent6" w:themeFillTint="33"/>
          </w:tcPr>
          <w:p w14:paraId="5C9B8813" w14:textId="77777777" w:rsidR="00CA3114" w:rsidRDefault="00CA3114" w:rsidP="00CA3114">
            <w:pPr>
              <w:autoSpaceDE w:val="0"/>
              <w:autoSpaceDN w:val="0"/>
              <w:adjustRightInd w:val="0"/>
              <w:jc w:val="center"/>
              <w:rPr>
                <w:rFonts w:ascii="NTFPreCursivefk" w:hAnsi="NTFPreCursivefk" w:cs="Lato-Bold"/>
                <w:bCs/>
                <w:sz w:val="32"/>
                <w:szCs w:val="32"/>
              </w:rPr>
            </w:pPr>
            <w:r w:rsidRPr="005F13F2">
              <w:rPr>
                <w:rFonts w:ascii="NTFPreCursivefk" w:hAnsi="NTFPreCursivefk"/>
                <w:sz w:val="32"/>
                <w:szCs w:val="32"/>
              </w:rPr>
              <w:t>Health and wellbeing</w:t>
            </w:r>
          </w:p>
          <w:p w14:paraId="55C0309F" w14:textId="77777777" w:rsidR="00CA3114" w:rsidRPr="003956CF" w:rsidRDefault="00CA3114" w:rsidP="003956CF">
            <w:pPr>
              <w:autoSpaceDE w:val="0"/>
              <w:autoSpaceDN w:val="0"/>
              <w:adjustRightInd w:val="0"/>
              <w:jc w:val="center"/>
              <w:rPr>
                <w:rFonts w:ascii="NTFPreCursivefk" w:hAnsi="NTFPreCursivefk" w:cs="Lato-Bold"/>
                <w:bCs/>
                <w:sz w:val="32"/>
                <w:szCs w:val="32"/>
              </w:rPr>
            </w:pPr>
            <w:r w:rsidRPr="005F13F2">
              <w:rPr>
                <w:rFonts w:ascii="NTFPreCursivefk" w:hAnsi="NTFPreCursivefk" w:cs="Lato-Bold"/>
                <w:bCs/>
                <w:sz w:val="32"/>
                <w:szCs w:val="32"/>
              </w:rPr>
              <w:t>Safety and the changing body</w:t>
            </w:r>
          </w:p>
        </w:tc>
        <w:tc>
          <w:tcPr>
            <w:tcW w:w="4796" w:type="dxa"/>
            <w:gridSpan w:val="2"/>
            <w:shd w:val="clear" w:color="auto" w:fill="DEEAF6" w:themeFill="accent5" w:themeFillTint="33"/>
          </w:tcPr>
          <w:p w14:paraId="491616EF" w14:textId="77777777" w:rsidR="00CA3114" w:rsidRDefault="00CA3114" w:rsidP="00CA3114">
            <w:pPr>
              <w:jc w:val="center"/>
              <w:rPr>
                <w:rFonts w:ascii="NTFPreCursivefk" w:hAnsi="NTFPreCursivefk"/>
                <w:sz w:val="32"/>
                <w:szCs w:val="32"/>
              </w:rPr>
            </w:pPr>
            <w:r w:rsidRPr="005F13F2">
              <w:rPr>
                <w:rFonts w:ascii="NTFPreCursivefk" w:hAnsi="NTFPreCursivefk"/>
                <w:sz w:val="32"/>
                <w:szCs w:val="32"/>
              </w:rPr>
              <w:t>Citizenship</w:t>
            </w:r>
          </w:p>
          <w:p w14:paraId="6F7A9A20" w14:textId="77777777" w:rsidR="00CA3114" w:rsidRPr="003956CF" w:rsidRDefault="00CA3114" w:rsidP="003956CF">
            <w:pPr>
              <w:jc w:val="center"/>
              <w:rPr>
                <w:rFonts w:ascii="NTFPreCursivefk" w:hAnsi="NTFPreCursivefk"/>
                <w:sz w:val="32"/>
                <w:szCs w:val="32"/>
              </w:rPr>
            </w:pPr>
            <w:r w:rsidRPr="005F13F2">
              <w:rPr>
                <w:rFonts w:ascii="NTFPreCursivefk" w:hAnsi="NTFPreCursivefk"/>
                <w:sz w:val="32"/>
                <w:szCs w:val="32"/>
              </w:rPr>
              <w:t>Economic wellbeing</w:t>
            </w:r>
          </w:p>
        </w:tc>
      </w:tr>
      <w:tr w:rsidR="003956CF" w:rsidRPr="0004255A" w14:paraId="5046F1BC" w14:textId="77777777" w:rsidTr="003956CF">
        <w:trPr>
          <w:trHeight w:val="505"/>
        </w:trPr>
        <w:tc>
          <w:tcPr>
            <w:tcW w:w="979" w:type="dxa"/>
          </w:tcPr>
          <w:p w14:paraId="03223D91" w14:textId="77777777" w:rsidR="00CA3114" w:rsidRPr="0004255A" w:rsidRDefault="00CA3114" w:rsidP="00CA3114">
            <w:pPr>
              <w:jc w:val="center"/>
              <w:rPr>
                <w:rFonts w:ascii="NTFPreCursivefk" w:hAnsi="NTFPreCursivefk"/>
                <w:b/>
                <w:sz w:val="24"/>
                <w:szCs w:val="24"/>
              </w:rPr>
            </w:pPr>
            <w:r w:rsidRPr="0004255A">
              <w:rPr>
                <w:rFonts w:ascii="NTFPreCursivefk" w:hAnsi="NTFPreCursivefk"/>
                <w:b/>
                <w:sz w:val="24"/>
                <w:szCs w:val="24"/>
              </w:rPr>
              <w:t xml:space="preserve">Year </w:t>
            </w:r>
            <w:r>
              <w:rPr>
                <w:rFonts w:ascii="NTFPreCursivefk" w:hAnsi="NTFPreCursivefk"/>
                <w:b/>
                <w:sz w:val="24"/>
                <w:szCs w:val="24"/>
              </w:rPr>
              <w:t>5</w:t>
            </w:r>
          </w:p>
        </w:tc>
        <w:tc>
          <w:tcPr>
            <w:tcW w:w="4795" w:type="dxa"/>
            <w:gridSpan w:val="2"/>
            <w:shd w:val="clear" w:color="auto" w:fill="FAFBE1"/>
          </w:tcPr>
          <w:p w14:paraId="53A08F95" w14:textId="77777777" w:rsidR="00CA3114" w:rsidRPr="005F13F2" w:rsidRDefault="00CA3114" w:rsidP="00CA3114">
            <w:pPr>
              <w:autoSpaceDE w:val="0"/>
              <w:autoSpaceDN w:val="0"/>
              <w:adjustRightInd w:val="0"/>
              <w:jc w:val="center"/>
              <w:rPr>
                <w:rFonts w:ascii="NTFPreCursivefk" w:hAnsi="NTFPreCursivefk"/>
                <w:sz w:val="32"/>
                <w:szCs w:val="32"/>
              </w:rPr>
            </w:pPr>
            <w:r w:rsidRPr="005F13F2">
              <w:rPr>
                <w:rFonts w:ascii="NTFPreCursivefk" w:hAnsi="NTFPreCursivefk"/>
                <w:sz w:val="32"/>
                <w:szCs w:val="32"/>
              </w:rPr>
              <w:t>Families and relationships</w:t>
            </w:r>
          </w:p>
          <w:p w14:paraId="51B131E7" w14:textId="77777777" w:rsidR="00CA3114" w:rsidRPr="005F13F2" w:rsidRDefault="00CA3114" w:rsidP="00CA3114">
            <w:pPr>
              <w:jc w:val="center"/>
              <w:rPr>
                <w:rFonts w:ascii="NTFPreCursivefk" w:hAnsi="NTFPreCursivefk"/>
                <w:sz w:val="32"/>
                <w:szCs w:val="32"/>
              </w:rPr>
            </w:pPr>
            <w:r w:rsidRPr="005F13F2">
              <w:rPr>
                <w:rFonts w:ascii="NTFPreCursivefk" w:hAnsi="NTFPreCursivefk"/>
                <w:sz w:val="32"/>
                <w:szCs w:val="32"/>
              </w:rPr>
              <w:t>Health and wellbeing</w:t>
            </w:r>
          </w:p>
        </w:tc>
        <w:tc>
          <w:tcPr>
            <w:tcW w:w="4796" w:type="dxa"/>
            <w:gridSpan w:val="2"/>
            <w:shd w:val="clear" w:color="auto" w:fill="E2EFD9" w:themeFill="accent6" w:themeFillTint="33"/>
          </w:tcPr>
          <w:p w14:paraId="15D4558B" w14:textId="77777777" w:rsidR="00CA3114" w:rsidRDefault="00CA3114" w:rsidP="00CA3114">
            <w:pPr>
              <w:autoSpaceDE w:val="0"/>
              <w:autoSpaceDN w:val="0"/>
              <w:adjustRightInd w:val="0"/>
              <w:jc w:val="center"/>
              <w:rPr>
                <w:rFonts w:ascii="NTFPreCursivefk" w:hAnsi="NTFPreCursivefk" w:cs="Lato-Bold"/>
                <w:bCs/>
                <w:sz w:val="32"/>
                <w:szCs w:val="32"/>
              </w:rPr>
            </w:pPr>
            <w:r w:rsidRPr="005F13F2">
              <w:rPr>
                <w:rFonts w:ascii="NTFPreCursivefk" w:hAnsi="NTFPreCursivefk"/>
                <w:sz w:val="32"/>
                <w:szCs w:val="32"/>
              </w:rPr>
              <w:t>Health and wellbeing</w:t>
            </w:r>
          </w:p>
          <w:p w14:paraId="0DE27B2F" w14:textId="77777777" w:rsidR="00CA3114" w:rsidRPr="003956CF" w:rsidRDefault="00CA3114" w:rsidP="003956CF">
            <w:pPr>
              <w:autoSpaceDE w:val="0"/>
              <w:autoSpaceDN w:val="0"/>
              <w:adjustRightInd w:val="0"/>
              <w:jc w:val="center"/>
              <w:rPr>
                <w:rFonts w:ascii="NTFPreCursivefk" w:hAnsi="NTFPreCursivefk" w:cs="Lato-Bold"/>
                <w:bCs/>
                <w:sz w:val="32"/>
                <w:szCs w:val="32"/>
              </w:rPr>
            </w:pPr>
            <w:r w:rsidRPr="005F13F2">
              <w:rPr>
                <w:rFonts w:ascii="NTFPreCursivefk" w:hAnsi="NTFPreCursivefk" w:cs="Lato-Bold"/>
                <w:bCs/>
                <w:sz w:val="32"/>
                <w:szCs w:val="32"/>
              </w:rPr>
              <w:t>Safety and the changing body</w:t>
            </w:r>
          </w:p>
        </w:tc>
        <w:tc>
          <w:tcPr>
            <w:tcW w:w="4796" w:type="dxa"/>
            <w:gridSpan w:val="2"/>
            <w:shd w:val="clear" w:color="auto" w:fill="DEEAF6" w:themeFill="accent5" w:themeFillTint="33"/>
          </w:tcPr>
          <w:p w14:paraId="449C6AB4" w14:textId="77777777" w:rsidR="00CA3114" w:rsidRDefault="00CA3114" w:rsidP="00CA3114">
            <w:pPr>
              <w:jc w:val="center"/>
              <w:rPr>
                <w:rFonts w:ascii="NTFPreCursivefk" w:hAnsi="NTFPreCursivefk"/>
                <w:sz w:val="32"/>
                <w:szCs w:val="32"/>
              </w:rPr>
            </w:pPr>
            <w:r w:rsidRPr="005F13F2">
              <w:rPr>
                <w:rFonts w:ascii="NTFPreCursivefk" w:hAnsi="NTFPreCursivefk"/>
                <w:sz w:val="32"/>
                <w:szCs w:val="32"/>
              </w:rPr>
              <w:t>Citizenship</w:t>
            </w:r>
          </w:p>
          <w:p w14:paraId="3FB650CF" w14:textId="77777777" w:rsidR="003956CF" w:rsidRPr="003956CF" w:rsidRDefault="00CA3114" w:rsidP="003956CF">
            <w:pPr>
              <w:jc w:val="center"/>
              <w:rPr>
                <w:rFonts w:ascii="NTFPreCursivefk" w:hAnsi="NTFPreCursivefk"/>
                <w:sz w:val="32"/>
                <w:szCs w:val="32"/>
              </w:rPr>
            </w:pPr>
            <w:r w:rsidRPr="005F13F2">
              <w:rPr>
                <w:rFonts w:ascii="NTFPreCursivefk" w:hAnsi="NTFPreCursivefk"/>
                <w:sz w:val="32"/>
                <w:szCs w:val="32"/>
              </w:rPr>
              <w:t>Economic wellbeing</w:t>
            </w:r>
          </w:p>
        </w:tc>
      </w:tr>
      <w:tr w:rsidR="003956CF" w:rsidRPr="0004255A" w14:paraId="4564C7F9" w14:textId="77777777" w:rsidTr="003956CF">
        <w:trPr>
          <w:trHeight w:val="505"/>
        </w:trPr>
        <w:tc>
          <w:tcPr>
            <w:tcW w:w="979" w:type="dxa"/>
          </w:tcPr>
          <w:p w14:paraId="4CB49FA6" w14:textId="77777777" w:rsidR="00CA3114" w:rsidRPr="0004255A" w:rsidRDefault="00CA3114" w:rsidP="00CA3114">
            <w:pPr>
              <w:jc w:val="center"/>
              <w:rPr>
                <w:rFonts w:ascii="NTFPreCursivefk" w:hAnsi="NTFPreCursivefk"/>
                <w:b/>
                <w:sz w:val="24"/>
                <w:szCs w:val="24"/>
              </w:rPr>
            </w:pPr>
            <w:r w:rsidRPr="0004255A">
              <w:rPr>
                <w:rFonts w:ascii="NTFPreCursivefk" w:hAnsi="NTFPreCursivefk"/>
                <w:b/>
                <w:sz w:val="24"/>
                <w:szCs w:val="24"/>
              </w:rPr>
              <w:t xml:space="preserve">Year </w:t>
            </w:r>
            <w:r>
              <w:rPr>
                <w:rFonts w:ascii="NTFPreCursivefk" w:hAnsi="NTFPreCursivefk"/>
                <w:b/>
                <w:sz w:val="24"/>
                <w:szCs w:val="24"/>
              </w:rPr>
              <w:t>6</w:t>
            </w:r>
          </w:p>
        </w:tc>
        <w:tc>
          <w:tcPr>
            <w:tcW w:w="4795" w:type="dxa"/>
            <w:gridSpan w:val="2"/>
            <w:shd w:val="clear" w:color="auto" w:fill="FAFBE1"/>
          </w:tcPr>
          <w:p w14:paraId="485D81CA" w14:textId="77777777" w:rsidR="00CA3114" w:rsidRPr="005F13F2" w:rsidRDefault="00CA3114" w:rsidP="00CA3114">
            <w:pPr>
              <w:autoSpaceDE w:val="0"/>
              <w:autoSpaceDN w:val="0"/>
              <w:adjustRightInd w:val="0"/>
              <w:jc w:val="center"/>
              <w:rPr>
                <w:rFonts w:ascii="NTFPreCursivefk" w:hAnsi="NTFPreCursivefk"/>
                <w:sz w:val="32"/>
                <w:szCs w:val="32"/>
              </w:rPr>
            </w:pPr>
            <w:r w:rsidRPr="005F13F2">
              <w:rPr>
                <w:rFonts w:ascii="NTFPreCursivefk" w:hAnsi="NTFPreCursivefk"/>
                <w:sz w:val="32"/>
                <w:szCs w:val="32"/>
              </w:rPr>
              <w:t>Families and relationships</w:t>
            </w:r>
          </w:p>
          <w:p w14:paraId="4648FE18" w14:textId="77777777" w:rsidR="00CA3114" w:rsidRPr="005F13F2" w:rsidRDefault="00CA3114" w:rsidP="00CA3114">
            <w:pPr>
              <w:jc w:val="center"/>
              <w:rPr>
                <w:rFonts w:ascii="NTFPreCursivefk" w:hAnsi="NTFPreCursivefk"/>
                <w:sz w:val="32"/>
                <w:szCs w:val="32"/>
              </w:rPr>
            </w:pPr>
            <w:r w:rsidRPr="005F13F2">
              <w:rPr>
                <w:rFonts w:ascii="NTFPreCursivefk" w:hAnsi="NTFPreCursivefk"/>
                <w:sz w:val="32"/>
                <w:szCs w:val="32"/>
              </w:rPr>
              <w:t>Health and wellbeing</w:t>
            </w:r>
          </w:p>
        </w:tc>
        <w:tc>
          <w:tcPr>
            <w:tcW w:w="4796" w:type="dxa"/>
            <w:gridSpan w:val="2"/>
            <w:shd w:val="clear" w:color="auto" w:fill="E2EFD9" w:themeFill="accent6" w:themeFillTint="33"/>
          </w:tcPr>
          <w:p w14:paraId="7948C524" w14:textId="77777777" w:rsidR="00CA3114" w:rsidRDefault="00CA3114" w:rsidP="00CA3114">
            <w:pPr>
              <w:autoSpaceDE w:val="0"/>
              <w:autoSpaceDN w:val="0"/>
              <w:adjustRightInd w:val="0"/>
              <w:jc w:val="center"/>
              <w:rPr>
                <w:rFonts w:ascii="NTFPreCursivefk" w:hAnsi="NTFPreCursivefk" w:cs="Lato-Bold"/>
                <w:bCs/>
                <w:sz w:val="32"/>
                <w:szCs w:val="32"/>
              </w:rPr>
            </w:pPr>
            <w:r w:rsidRPr="005F13F2">
              <w:rPr>
                <w:rFonts w:ascii="NTFPreCursivefk" w:hAnsi="NTFPreCursivefk"/>
                <w:sz w:val="32"/>
                <w:szCs w:val="32"/>
              </w:rPr>
              <w:t>Health and wellbeing</w:t>
            </w:r>
          </w:p>
          <w:p w14:paraId="77C001E4" w14:textId="77777777" w:rsidR="00CA3114" w:rsidRPr="003956CF" w:rsidRDefault="00CA3114" w:rsidP="003956CF">
            <w:pPr>
              <w:autoSpaceDE w:val="0"/>
              <w:autoSpaceDN w:val="0"/>
              <w:adjustRightInd w:val="0"/>
              <w:jc w:val="center"/>
              <w:rPr>
                <w:rFonts w:ascii="NTFPreCursivefk" w:hAnsi="NTFPreCursivefk" w:cs="Lato-Bold"/>
                <w:bCs/>
                <w:sz w:val="32"/>
                <w:szCs w:val="32"/>
              </w:rPr>
            </w:pPr>
            <w:r w:rsidRPr="005F13F2">
              <w:rPr>
                <w:rFonts w:ascii="NTFPreCursivefk" w:hAnsi="NTFPreCursivefk" w:cs="Lato-Bold"/>
                <w:bCs/>
                <w:sz w:val="32"/>
                <w:szCs w:val="32"/>
              </w:rPr>
              <w:t>Safety and the changing body</w:t>
            </w:r>
          </w:p>
        </w:tc>
        <w:tc>
          <w:tcPr>
            <w:tcW w:w="4796" w:type="dxa"/>
            <w:gridSpan w:val="2"/>
            <w:shd w:val="clear" w:color="auto" w:fill="DEEAF6" w:themeFill="accent5" w:themeFillTint="33"/>
          </w:tcPr>
          <w:p w14:paraId="1C1585EF" w14:textId="77777777" w:rsidR="00CA3114" w:rsidRDefault="00CA3114" w:rsidP="00CA3114">
            <w:pPr>
              <w:jc w:val="center"/>
              <w:rPr>
                <w:rFonts w:ascii="NTFPreCursivefk" w:hAnsi="NTFPreCursivefk"/>
                <w:sz w:val="32"/>
                <w:szCs w:val="32"/>
              </w:rPr>
            </w:pPr>
            <w:r w:rsidRPr="005F13F2">
              <w:rPr>
                <w:rFonts w:ascii="NTFPreCursivefk" w:hAnsi="NTFPreCursivefk"/>
                <w:sz w:val="32"/>
                <w:szCs w:val="32"/>
              </w:rPr>
              <w:t>Citizenship</w:t>
            </w:r>
          </w:p>
          <w:p w14:paraId="00BFF047" w14:textId="77777777" w:rsidR="00CA3114" w:rsidRDefault="00CA3114" w:rsidP="00CA3114">
            <w:pPr>
              <w:jc w:val="center"/>
              <w:rPr>
                <w:rFonts w:ascii="NTFPreCursivefk" w:hAnsi="NTFPreCursivefk"/>
                <w:sz w:val="32"/>
                <w:szCs w:val="32"/>
              </w:rPr>
            </w:pPr>
            <w:r w:rsidRPr="005F13F2">
              <w:rPr>
                <w:rFonts w:ascii="NTFPreCursivefk" w:hAnsi="NTFPreCursivefk"/>
                <w:sz w:val="32"/>
                <w:szCs w:val="32"/>
              </w:rPr>
              <w:t>Economic wellbeing</w:t>
            </w:r>
          </w:p>
          <w:p w14:paraId="5E718E16" w14:textId="77777777" w:rsidR="003956CF" w:rsidRPr="003956CF" w:rsidRDefault="00CA3114" w:rsidP="003956CF">
            <w:pPr>
              <w:jc w:val="center"/>
              <w:rPr>
                <w:rFonts w:ascii="NTFPreCursivefk" w:hAnsi="NTFPreCursivefk"/>
                <w:sz w:val="32"/>
                <w:szCs w:val="32"/>
              </w:rPr>
            </w:pPr>
            <w:r>
              <w:rPr>
                <w:rFonts w:ascii="NTFPreCursivefk" w:hAnsi="NTFPreCursivefk"/>
                <w:sz w:val="32"/>
                <w:szCs w:val="32"/>
              </w:rPr>
              <w:t>Identity</w:t>
            </w:r>
          </w:p>
        </w:tc>
      </w:tr>
    </w:tbl>
    <w:p w14:paraId="46586290" w14:textId="77777777" w:rsidR="00CA3114" w:rsidRDefault="00CA3114" w:rsidP="00CA3114">
      <w:pPr>
        <w:jc w:val="center"/>
        <w:rPr>
          <w:rFonts w:ascii="NTFPreCursivefk" w:hAnsi="NTFPreCursivefk"/>
          <w:sz w:val="40"/>
          <w:szCs w:val="40"/>
          <w:u w:val="single"/>
        </w:rPr>
      </w:pPr>
    </w:p>
    <w:p w14:paraId="47CA169D" w14:textId="77777777" w:rsidR="00CA3114" w:rsidRDefault="00CA3114" w:rsidP="00CA3114">
      <w:pPr>
        <w:jc w:val="center"/>
        <w:rPr>
          <w:rFonts w:ascii="NTFPreCursivefk" w:hAnsi="NTFPreCursivefk"/>
          <w:sz w:val="40"/>
          <w:szCs w:val="40"/>
          <w:u w:val="single"/>
        </w:rPr>
      </w:pPr>
    </w:p>
    <w:p w14:paraId="2ED258E2" w14:textId="77777777" w:rsidR="00CA3114" w:rsidRPr="00915160" w:rsidRDefault="00CA3114" w:rsidP="00CA3114">
      <w:pPr>
        <w:rPr>
          <w:rFonts w:ascii="NTFPreCursivefk" w:hAnsi="NTFPreCursivefk"/>
          <w:sz w:val="40"/>
          <w:szCs w:val="40"/>
          <w:u w:val="single"/>
        </w:rPr>
      </w:pPr>
    </w:p>
    <w:sectPr w:rsidR="00CA3114" w:rsidRPr="00915160" w:rsidSect="00494C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fk">
    <w:altName w:val="Calibri"/>
    <w:charset w:val="00"/>
    <w:family w:val="script"/>
    <w:pitch w:val="variable"/>
    <w:sig w:usb0="00000003" w:usb1="10000000" w:usb2="00000000" w:usb3="00000000" w:csb0="00000001" w:csb1="00000000"/>
  </w:font>
  <w:font w:name="Amatic SC">
    <w:altName w:val="Cambria"/>
    <w:charset w:val="B1"/>
    <w:family w:val="auto"/>
    <w:pitch w:val="variable"/>
    <w:sig w:usb0="20000A0F" w:usb1="40000002" w:usb2="00000000" w:usb3="00000000" w:csb0="000001B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C2"/>
    <w:rsid w:val="0039428B"/>
    <w:rsid w:val="003956CF"/>
    <w:rsid w:val="003C5D02"/>
    <w:rsid w:val="00494CC2"/>
    <w:rsid w:val="00915160"/>
    <w:rsid w:val="00B766E0"/>
    <w:rsid w:val="00BA19CC"/>
    <w:rsid w:val="00CA3114"/>
    <w:rsid w:val="00D3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83FC3"/>
  <w15:chartTrackingRefBased/>
  <w15:docId w15:val="{D89F33AC-48DF-406C-8DC4-4C798259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3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Nicola Watson</cp:lastModifiedBy>
  <cp:revision>2</cp:revision>
  <cp:lastPrinted>2023-03-08T11:19:00Z</cp:lastPrinted>
  <dcterms:created xsi:type="dcterms:W3CDTF">2023-03-10T06:35:00Z</dcterms:created>
  <dcterms:modified xsi:type="dcterms:W3CDTF">2023-03-10T06:35:00Z</dcterms:modified>
</cp:coreProperties>
</file>